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1372" w14:textId="3E384829" w:rsidR="00F02101" w:rsidRDefault="00F02101" w:rsidP="00297EC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6029C" wp14:editId="7193B08E">
            <wp:simplePos x="0" y="0"/>
            <wp:positionH relativeFrom="column">
              <wp:posOffset>1381125</wp:posOffset>
            </wp:positionH>
            <wp:positionV relativeFrom="paragraph">
              <wp:posOffset>0</wp:posOffset>
            </wp:positionV>
            <wp:extent cx="31146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34" y="21185"/>
                <wp:lineTo x="21534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FBF86" w14:textId="7064B470" w:rsidR="00F02101" w:rsidRDefault="00F02101" w:rsidP="00297EC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</w:p>
    <w:p w14:paraId="118FC368" w14:textId="77777777" w:rsidR="00C5484F" w:rsidRDefault="00C5484F" w:rsidP="00F021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</w:p>
    <w:p w14:paraId="421510AC" w14:textId="5F4E24CC" w:rsidR="00297EC5" w:rsidRPr="00EC427F" w:rsidRDefault="000955A5" w:rsidP="00F021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>
        <w:rPr>
          <w:rFonts w:eastAsia="Times New Roman" w:cstheme="minorHAnsi"/>
          <w:b/>
          <w:bCs/>
          <w:kern w:val="36"/>
          <w:sz w:val="40"/>
          <w:szCs w:val="40"/>
        </w:rPr>
        <w:t>LEARNERS</w:t>
      </w:r>
      <w:r w:rsidR="00F02101" w:rsidRPr="00EC427F">
        <w:rPr>
          <w:rFonts w:eastAsia="Times New Roman" w:cstheme="minorHAnsi"/>
          <w:b/>
          <w:bCs/>
          <w:kern w:val="36"/>
          <w:sz w:val="40"/>
          <w:szCs w:val="40"/>
        </w:rPr>
        <w:t xml:space="preserve"> ASSESSMENT AND RECOGNISED PRIOR LEARNING POLICY</w:t>
      </w:r>
    </w:p>
    <w:p w14:paraId="3D2D7ABD" w14:textId="4534DBF9" w:rsidR="00297EC5" w:rsidRPr="00EC427F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EC427F">
        <w:rPr>
          <w:rFonts w:eastAsia="Times New Roman" w:cstheme="minorHAnsi"/>
          <w:b/>
          <w:bCs/>
          <w:sz w:val="32"/>
          <w:szCs w:val="32"/>
        </w:rPr>
        <w:t>Purpose</w:t>
      </w:r>
      <w:r w:rsidRPr="00EC427F">
        <w:rPr>
          <w:rFonts w:eastAsia="Times New Roman" w:cstheme="minorHAnsi"/>
          <w:sz w:val="32"/>
          <w:szCs w:val="32"/>
        </w:rPr>
        <w:t xml:space="preserve"> </w:t>
      </w:r>
    </w:p>
    <w:p w14:paraId="14CA7FDA" w14:textId="4F48621C" w:rsidR="00297EC5" w:rsidRPr="00F02101" w:rsidRDefault="00297EC5" w:rsidP="00F02101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To ensure that assessment methodology is valid and reliable and does not disadvantage or advantage any group of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or individuals</w:t>
      </w:r>
    </w:p>
    <w:p w14:paraId="379783D8" w14:textId="5F761A68" w:rsidR="00297EC5" w:rsidRPr="00F02101" w:rsidRDefault="00297EC5" w:rsidP="00F02101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To ensure that assessment is open, fair and free from bias and meets national standards and those of the </w:t>
      </w:r>
      <w:r w:rsidR="00EC427F">
        <w:rPr>
          <w:rFonts w:eastAsia="Times New Roman" w:cstheme="minorHAnsi"/>
        </w:rPr>
        <w:t>Awarding Body</w:t>
      </w:r>
      <w:r w:rsidRPr="00F02101">
        <w:rPr>
          <w:rFonts w:eastAsia="Times New Roman" w:cstheme="minorHAnsi"/>
        </w:rPr>
        <w:t xml:space="preserve"> concerned </w:t>
      </w:r>
    </w:p>
    <w:p w14:paraId="4AA9D168" w14:textId="46667090" w:rsidR="00297EC5" w:rsidRPr="00F02101" w:rsidRDefault="00297EC5" w:rsidP="00F02101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To ensure that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are made aware of the assessment process, which assessment method is being used, when they are being assessed and that they are familiar with the assessment criteria</w:t>
      </w:r>
    </w:p>
    <w:p w14:paraId="6FD357BF" w14:textId="39D94BAC" w:rsidR="00297EC5" w:rsidRPr="00F02101" w:rsidRDefault="00297EC5" w:rsidP="00F02101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To ensure that assessment decisions are accurately recorded and tracked and are made accessible to all assessors and verifiers working on each particular qualification </w:t>
      </w:r>
    </w:p>
    <w:p w14:paraId="34D68B73" w14:textId="08A664CC" w:rsidR="00EC427F" w:rsidRDefault="00297EC5" w:rsidP="00F02101">
      <w:pPr>
        <w:spacing w:after="0" w:line="240" w:lineRule="auto"/>
        <w:rPr>
          <w:rFonts w:eastAsia="Times New Roman" w:cstheme="minorHAnsi"/>
          <w:b/>
          <w:bCs/>
        </w:rPr>
      </w:pPr>
      <w:r w:rsidRPr="00F02101">
        <w:rPr>
          <w:rFonts w:eastAsia="Times New Roman" w:cstheme="minorHAnsi"/>
        </w:rPr>
        <w:br/>
      </w:r>
      <w:r w:rsidRPr="00EC427F">
        <w:rPr>
          <w:rFonts w:eastAsia="Times New Roman" w:cstheme="minorHAnsi"/>
          <w:b/>
          <w:bCs/>
          <w:sz w:val="32"/>
          <w:szCs w:val="32"/>
        </w:rPr>
        <w:t xml:space="preserve">Staff </w:t>
      </w:r>
      <w:r w:rsidR="00EC427F">
        <w:rPr>
          <w:rFonts w:eastAsia="Times New Roman" w:cstheme="minorHAnsi"/>
          <w:b/>
          <w:bCs/>
          <w:sz w:val="32"/>
          <w:szCs w:val="32"/>
        </w:rPr>
        <w:t>I</w:t>
      </w:r>
      <w:r w:rsidRPr="00EC427F">
        <w:rPr>
          <w:rFonts w:eastAsia="Times New Roman" w:cstheme="minorHAnsi"/>
          <w:b/>
          <w:bCs/>
          <w:sz w:val="32"/>
          <w:szCs w:val="32"/>
        </w:rPr>
        <w:t>nvolved</w:t>
      </w:r>
    </w:p>
    <w:p w14:paraId="19DA39D8" w14:textId="4AA9533D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Teachers and Assessors, Programme Managers, Personal Tutors, Internal Verifiers</w:t>
      </w:r>
      <w:r w:rsidR="00EC427F">
        <w:rPr>
          <w:rFonts w:eastAsia="Times New Roman" w:cstheme="minorHAnsi"/>
        </w:rPr>
        <w:t xml:space="preserve"> and Director of Quality &amp; Training</w:t>
      </w:r>
    </w:p>
    <w:p w14:paraId="5CEB3A5A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06A23E64" w14:textId="77777777" w:rsidR="00EC427F" w:rsidRDefault="00297EC5" w:rsidP="00F02101">
      <w:pPr>
        <w:spacing w:after="0" w:line="240" w:lineRule="auto"/>
        <w:rPr>
          <w:rFonts w:eastAsia="Times New Roman" w:cstheme="minorHAnsi"/>
          <w:b/>
          <w:bCs/>
        </w:rPr>
      </w:pPr>
      <w:r w:rsidRPr="00EC427F">
        <w:rPr>
          <w:rFonts w:eastAsia="Times New Roman" w:cstheme="minorHAnsi"/>
          <w:b/>
          <w:bCs/>
          <w:sz w:val="32"/>
          <w:szCs w:val="32"/>
        </w:rPr>
        <w:t>Quality Review</w:t>
      </w:r>
    </w:p>
    <w:p w14:paraId="63E9C5E5" w14:textId="3EB2D8CA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This procedure is reviewed annually to ensure that it remains effective. All staff are invited to comment on its effectiveness and contribute to its review. Amendment is the responsibility of </w:t>
      </w:r>
      <w:r w:rsidR="00EC427F">
        <w:rPr>
          <w:rFonts w:eastAsia="Times New Roman" w:cstheme="minorHAnsi"/>
        </w:rPr>
        <w:t xml:space="preserve">the </w:t>
      </w:r>
      <w:r w:rsidRPr="00F02101">
        <w:rPr>
          <w:rFonts w:eastAsia="Times New Roman" w:cstheme="minorHAnsi"/>
        </w:rPr>
        <w:t>Programme Managers</w:t>
      </w:r>
      <w:r w:rsidR="00EC427F">
        <w:rPr>
          <w:rFonts w:eastAsia="Times New Roman" w:cstheme="minorHAnsi"/>
        </w:rPr>
        <w:t>, Director of Quality &amp; Training and the Principal.</w:t>
      </w:r>
    </w:p>
    <w:p w14:paraId="6E339F76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1A59C566" w14:textId="77777777" w:rsidR="00297EC5" w:rsidRPr="00EC427F" w:rsidRDefault="00297EC5" w:rsidP="00F02101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EC427F">
        <w:rPr>
          <w:rFonts w:eastAsia="Times New Roman" w:cstheme="minorHAnsi"/>
          <w:b/>
          <w:bCs/>
          <w:sz w:val="32"/>
          <w:szCs w:val="32"/>
        </w:rPr>
        <w:t>Policy Statement</w:t>
      </w:r>
    </w:p>
    <w:p w14:paraId="00F6A06B" w14:textId="0AF5251C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Assessment is the measurement of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’ achievement against agreed and openly stated criteria and standards. </w:t>
      </w:r>
    </w:p>
    <w:p w14:paraId="45C3DD9A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1074CB7E" w14:textId="06192E06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All assessments are carried out according to the following principles: </w:t>
      </w:r>
    </w:p>
    <w:p w14:paraId="0F073DD3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6BAF511A" w14:textId="77777777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>Assessments must be Reliable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3FC73DDB" w14:textId="77777777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Reliability refers to the need for assessment to be accurate and repeatable. This requires clear and consistent processes for the setting, marking, grading and moderation of assignments. </w:t>
      </w:r>
    </w:p>
    <w:p w14:paraId="6CC912A4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599CCFE7" w14:textId="5105F65C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>Assessments must be Valid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6FE0A67C" w14:textId="36B8835E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Validity ensures that assessment tasks and associated criteria effectively measure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attainment of the intended learning outcomes. </w:t>
      </w:r>
    </w:p>
    <w:p w14:paraId="5561F843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4E325B4" w14:textId="43A5BA90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 xml:space="preserve">Information about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ssessment is </w:t>
      </w:r>
      <w:r w:rsidR="000955A5">
        <w:rPr>
          <w:rFonts w:eastAsia="Times New Roman" w:cstheme="minorHAnsi"/>
          <w:b/>
          <w:bCs/>
          <w:sz w:val="32"/>
          <w:szCs w:val="32"/>
        </w:rPr>
        <w:t>E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xplicit and </w:t>
      </w:r>
      <w:r w:rsid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>ccessible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392A3AF0" w14:textId="247C4B32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Clear, accurate, consistent and timely information on assessment tasks and procedures will be made available to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, staff and other </w:t>
      </w:r>
      <w:r w:rsidR="00EC427F">
        <w:rPr>
          <w:rFonts w:eastAsia="Times New Roman" w:cstheme="minorHAnsi"/>
        </w:rPr>
        <w:t>E</w:t>
      </w:r>
      <w:r w:rsidRPr="00F02101">
        <w:rPr>
          <w:rFonts w:eastAsia="Times New Roman" w:cstheme="minorHAnsi"/>
        </w:rPr>
        <w:t xml:space="preserve">xternal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 xml:space="preserve">ssessors or </w:t>
      </w:r>
      <w:r w:rsidR="00EC427F">
        <w:rPr>
          <w:rFonts w:eastAsia="Times New Roman" w:cstheme="minorHAnsi"/>
        </w:rPr>
        <w:t>E</w:t>
      </w:r>
      <w:r w:rsidRPr="00F02101">
        <w:rPr>
          <w:rFonts w:eastAsia="Times New Roman" w:cstheme="minorHAnsi"/>
        </w:rPr>
        <w:t xml:space="preserve">xaminers. </w:t>
      </w:r>
    </w:p>
    <w:p w14:paraId="4655B183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2423ED25" w14:textId="77777777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>Assessments must be Inclusive and Equitable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114D63C2" w14:textId="048F106E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Assessment tasks and procedures must be designed to be inclusive and not to disadvantage any group or individual (for example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with disabilities,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with varied cultural backgrounds). </w:t>
      </w:r>
    </w:p>
    <w:p w14:paraId="60F8CF9C" w14:textId="243D9F4E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lastRenderedPageBreak/>
        <w:t xml:space="preserve">Assessment must address all of the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P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rogramme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ims and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O</w:t>
      </w:r>
      <w:r w:rsidRPr="000955A5">
        <w:rPr>
          <w:rFonts w:eastAsia="Times New Roman" w:cstheme="minorHAnsi"/>
          <w:b/>
          <w:bCs/>
          <w:sz w:val="32"/>
          <w:szCs w:val="32"/>
        </w:rPr>
        <w:t>utcomes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44416E1C" w14:textId="6C3FC415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Assessment tasks will primarily reflect the nature of the discipline or subject but can also include opportunities for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to develop a range of generic and transferable skills. </w:t>
      </w:r>
    </w:p>
    <w:p w14:paraId="51901BDF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D2A0B3B" w14:textId="7A15F714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 xml:space="preserve">The amount of </w:t>
      </w:r>
      <w:r w:rsid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ssessed </w:t>
      </w:r>
      <w:r w:rsidR="000955A5">
        <w:rPr>
          <w:rFonts w:eastAsia="Times New Roman" w:cstheme="minorHAnsi"/>
          <w:b/>
          <w:bCs/>
          <w:sz w:val="32"/>
          <w:szCs w:val="32"/>
        </w:rPr>
        <w:t>W</w:t>
      </w:r>
      <w:r w:rsidRPr="000955A5">
        <w:rPr>
          <w:rFonts w:eastAsia="Times New Roman" w:cstheme="minorHAnsi"/>
          <w:b/>
          <w:bCs/>
          <w:sz w:val="32"/>
          <w:szCs w:val="32"/>
        </w:rPr>
        <w:t>ork required must be manageable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70FD8EDA" w14:textId="20E02E10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The scheduling of assignments and the amount of assessed work required will provide a reliable and valid profile of achievement without overloading staff or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. </w:t>
      </w:r>
    </w:p>
    <w:p w14:paraId="294E9758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A5E38C8" w14:textId="69B17E36" w:rsidR="00297EC5" w:rsidRPr="00EC427F" w:rsidRDefault="00297EC5" w:rsidP="00F0210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27F">
        <w:rPr>
          <w:rFonts w:eastAsia="Times New Roman" w:cstheme="minorHAnsi"/>
          <w:b/>
          <w:bCs/>
          <w:sz w:val="28"/>
          <w:szCs w:val="28"/>
        </w:rPr>
        <w:t>F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ormative and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S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ummative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ssessment must be included in each </w:t>
      </w:r>
      <w:r w:rsidR="000955A5">
        <w:rPr>
          <w:rFonts w:eastAsia="Times New Roman" w:cstheme="minorHAnsi"/>
          <w:b/>
          <w:bCs/>
          <w:sz w:val="32"/>
          <w:szCs w:val="32"/>
        </w:rPr>
        <w:t>P</w:t>
      </w:r>
      <w:r w:rsidRPr="000955A5">
        <w:rPr>
          <w:rFonts w:eastAsia="Times New Roman" w:cstheme="minorHAnsi"/>
          <w:b/>
          <w:bCs/>
          <w:sz w:val="32"/>
          <w:szCs w:val="32"/>
        </w:rPr>
        <w:t>rogramme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1BB5269A" w14:textId="523664B6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Formative and summative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 xml:space="preserve">ssessment will be incorporated into programmes to ensure that the purposes of assessment are adequately addressed. </w:t>
      </w:r>
    </w:p>
    <w:p w14:paraId="19880B26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0F96A289" w14:textId="5943CFCF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 xml:space="preserve">Feedback must be provided as an integral part of the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ssessment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P</w:t>
      </w:r>
      <w:r w:rsidRPr="000955A5">
        <w:rPr>
          <w:rFonts w:eastAsia="Times New Roman" w:cstheme="minorHAnsi"/>
          <w:b/>
          <w:bCs/>
          <w:sz w:val="32"/>
          <w:szCs w:val="32"/>
        </w:rPr>
        <w:t>rocess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20E62B47" w14:textId="38AFEEC6" w:rsidR="00297EC5" w:rsidRPr="00F02101" w:rsidRDefault="000955A5" w:rsidP="00F0210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Learners</w:t>
      </w:r>
      <w:r w:rsidR="00297EC5" w:rsidRPr="00F02101">
        <w:rPr>
          <w:rFonts w:eastAsia="Times New Roman" w:cstheme="minorHAnsi"/>
        </w:rPr>
        <w:t xml:space="preserve"> are entitled to feedback on all </w:t>
      </w:r>
      <w:r w:rsidR="00EC427F">
        <w:rPr>
          <w:rFonts w:eastAsia="Times New Roman" w:cstheme="minorHAnsi"/>
        </w:rPr>
        <w:t>F</w:t>
      </w:r>
      <w:r w:rsidR="00297EC5" w:rsidRPr="00F02101">
        <w:rPr>
          <w:rFonts w:eastAsia="Times New Roman" w:cstheme="minorHAnsi"/>
        </w:rPr>
        <w:t xml:space="preserve">ormative and </w:t>
      </w:r>
      <w:r w:rsidR="00EC427F">
        <w:rPr>
          <w:rFonts w:eastAsia="Times New Roman" w:cstheme="minorHAnsi"/>
        </w:rPr>
        <w:t>S</w:t>
      </w:r>
      <w:r w:rsidR="00297EC5" w:rsidRPr="00F02101">
        <w:rPr>
          <w:rFonts w:eastAsia="Times New Roman" w:cstheme="minorHAnsi"/>
        </w:rPr>
        <w:t xml:space="preserve">ummative </w:t>
      </w:r>
      <w:r w:rsidR="00EC427F">
        <w:rPr>
          <w:rFonts w:eastAsia="Times New Roman" w:cstheme="minorHAnsi"/>
        </w:rPr>
        <w:t>A</w:t>
      </w:r>
      <w:r w:rsidR="00297EC5" w:rsidRPr="00F02101">
        <w:rPr>
          <w:rFonts w:eastAsia="Times New Roman" w:cstheme="minorHAnsi"/>
        </w:rPr>
        <w:t xml:space="preserve">ssessment </w:t>
      </w:r>
      <w:r w:rsidR="00EC427F">
        <w:rPr>
          <w:rFonts w:eastAsia="Times New Roman" w:cstheme="minorHAnsi"/>
        </w:rPr>
        <w:t>T</w:t>
      </w:r>
      <w:r w:rsidR="00297EC5" w:rsidRPr="00F02101">
        <w:rPr>
          <w:rFonts w:eastAsia="Times New Roman" w:cstheme="minorHAnsi"/>
        </w:rPr>
        <w:t xml:space="preserve">asks. The nature, extent and timing of feedback for each assessment task should be clear to </w:t>
      </w:r>
      <w:r>
        <w:rPr>
          <w:rFonts w:eastAsia="Times New Roman" w:cstheme="minorHAnsi"/>
        </w:rPr>
        <w:t>Learners</w:t>
      </w:r>
      <w:r w:rsidR="00297EC5" w:rsidRPr="00F02101">
        <w:rPr>
          <w:rFonts w:eastAsia="Times New Roman" w:cstheme="minorHAnsi"/>
        </w:rPr>
        <w:t xml:space="preserve"> in advance. </w:t>
      </w:r>
    </w:p>
    <w:p w14:paraId="5D240AC8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916FD8A" w14:textId="13206735" w:rsidR="00297EC5" w:rsidRPr="000955A5" w:rsidRDefault="00297EC5" w:rsidP="00F0210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955A5">
        <w:rPr>
          <w:rFonts w:eastAsia="Times New Roman" w:cstheme="minorHAnsi"/>
          <w:b/>
          <w:bCs/>
          <w:sz w:val="32"/>
          <w:szCs w:val="32"/>
        </w:rPr>
        <w:t xml:space="preserve">Each programme must include a variety of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A</w:t>
      </w:r>
      <w:r w:rsidRPr="000955A5">
        <w:rPr>
          <w:rFonts w:eastAsia="Times New Roman" w:cstheme="minorHAnsi"/>
          <w:b/>
          <w:bCs/>
          <w:sz w:val="32"/>
          <w:szCs w:val="32"/>
        </w:rPr>
        <w:t xml:space="preserve">ssessment </w:t>
      </w:r>
      <w:r w:rsidR="00EC427F" w:rsidRPr="000955A5">
        <w:rPr>
          <w:rFonts w:eastAsia="Times New Roman" w:cstheme="minorHAnsi"/>
          <w:b/>
          <w:bCs/>
          <w:sz w:val="32"/>
          <w:szCs w:val="32"/>
        </w:rPr>
        <w:t>T</w:t>
      </w:r>
      <w:r w:rsidRPr="000955A5">
        <w:rPr>
          <w:rFonts w:eastAsia="Times New Roman" w:cstheme="minorHAnsi"/>
          <w:b/>
          <w:bCs/>
          <w:sz w:val="32"/>
          <w:szCs w:val="32"/>
        </w:rPr>
        <w:t>ypes</w:t>
      </w:r>
      <w:r w:rsidRPr="000955A5">
        <w:rPr>
          <w:rFonts w:eastAsia="Times New Roman" w:cstheme="minorHAnsi"/>
          <w:sz w:val="32"/>
          <w:szCs w:val="32"/>
        </w:rPr>
        <w:t xml:space="preserve"> </w:t>
      </w:r>
    </w:p>
    <w:p w14:paraId="42095A32" w14:textId="781A6B9F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Variety in assessment (including computer aided, and self and peer assessment) promotes effective learning and allows a range of intended learning outcomes to be appropriately assessed. In addition, varied assessment tasks support a range of approaches to learning and ensure that inclusivity is planned for and addressed. </w:t>
      </w:r>
    </w:p>
    <w:p w14:paraId="289F9F56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7BD5F971" w14:textId="77777777" w:rsidR="00297EC5" w:rsidRPr="00EC427F" w:rsidRDefault="00297EC5" w:rsidP="00F02101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EC427F">
        <w:rPr>
          <w:rFonts w:eastAsia="Times New Roman" w:cstheme="minorHAnsi"/>
          <w:b/>
          <w:bCs/>
          <w:sz w:val="32"/>
          <w:szCs w:val="32"/>
        </w:rPr>
        <w:t>Recognition of Prior Learning</w:t>
      </w:r>
    </w:p>
    <w:p w14:paraId="5F3ABAE5" w14:textId="0C1FA8EB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"Recognition of Prior Learning (RPL) is a method of assessment [leading to the award of credit] that considers whether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can demonstrate that they can meet the assessment requirements for a unit through knowledge, understanding or skills they already possess and so not need to develop through a course of learning." </w:t>
      </w:r>
      <w:r w:rsidR="000955A5">
        <w:rPr>
          <w:rFonts w:eastAsia="Times New Roman" w:cstheme="minorHAnsi"/>
        </w:rPr>
        <w:t xml:space="preserve"> </w:t>
      </w:r>
      <w:r w:rsidRPr="00F02101">
        <w:rPr>
          <w:rFonts w:eastAsia="Times New Roman" w:cstheme="minorHAnsi"/>
        </w:rPr>
        <w:t xml:space="preserve">Regulatory arrangements for the Qualifications and Credit Framework (Ofqual/08/3726) </w:t>
      </w:r>
    </w:p>
    <w:p w14:paraId="48C6B0E0" w14:textId="77777777" w:rsidR="00EC427F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6B20D8AD" w14:textId="097C658F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RPL enables recognition of achievement from a range of activities using any appropriate assessment methodology. Provided that the assessment requirements of a given unit or qualification have been met, the use of RPL is acceptable for accrediting a unit, units or a whole qualification. </w:t>
      </w:r>
    </w:p>
    <w:p w14:paraId="0450CCCF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66255DDB" w14:textId="7186A5F5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Where units are assessed against assessment criteria or grading criteria, then all evidence must be evaluated using the stipulated criteria. In assessing a unit using RPL the assessor must be satisfied that the evidence produced by the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meets the assessment standard established by the learning outcome and its related assessment criteria. Note also that the assessment strategy for each qualification must be adhered to. </w:t>
      </w:r>
    </w:p>
    <w:p w14:paraId="365637A8" w14:textId="77777777" w:rsidR="00EC427F" w:rsidRPr="00F02101" w:rsidRDefault="00EC427F" w:rsidP="00F02101">
      <w:pPr>
        <w:spacing w:after="0" w:line="240" w:lineRule="auto"/>
        <w:rPr>
          <w:rFonts w:eastAsia="Times New Roman" w:cstheme="minorHAnsi"/>
        </w:rPr>
      </w:pPr>
    </w:p>
    <w:p w14:paraId="428E81E3" w14:textId="163425F0" w:rsidR="00297EC5" w:rsidRPr="00F02101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The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 xml:space="preserve">ssessor should establish whether RPL may be appropriate for any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or units/part units of a qualification. If the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 xml:space="preserve">ssessor considers that this is the case, they may set up an assessment opportunity for the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that is in line with assessment practices and strategies for the qualification, and may use questioning to check for additional knowledge and understanding </w:t>
      </w:r>
    </w:p>
    <w:p w14:paraId="7C5F2A06" w14:textId="77777777" w:rsidR="00EC427F" w:rsidRDefault="00EC427F" w:rsidP="00F02101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p w14:paraId="7019A772" w14:textId="536C49FC" w:rsidR="00297EC5" w:rsidRPr="00C33CB6" w:rsidRDefault="00297EC5" w:rsidP="00F02101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C33CB6">
        <w:rPr>
          <w:rFonts w:eastAsia="Times New Roman" w:cstheme="minorHAnsi"/>
          <w:b/>
          <w:bCs/>
          <w:sz w:val="32"/>
          <w:szCs w:val="32"/>
        </w:rPr>
        <w:t>Internal Assessments</w:t>
      </w:r>
    </w:p>
    <w:p w14:paraId="2339B348" w14:textId="0C7A08CB" w:rsidR="00297EC5" w:rsidRPr="00F02101" w:rsidRDefault="00297EC5" w:rsidP="000955A5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Where assignments are used,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 xml:space="preserve">ssessors must ensure that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are provided with assignments that include a clear hand-in date</w:t>
      </w:r>
    </w:p>
    <w:p w14:paraId="5481DD03" w14:textId="77777777" w:rsidR="000955A5" w:rsidRDefault="000955A5" w:rsidP="00F0210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779F962A" w14:textId="359FF4DF" w:rsidR="00297EC5" w:rsidRPr="000955A5" w:rsidRDefault="00297EC5" w:rsidP="00F02101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955A5">
        <w:rPr>
          <w:rFonts w:eastAsia="Times New Roman" w:cstheme="minorHAnsi"/>
          <w:b/>
          <w:sz w:val="32"/>
          <w:szCs w:val="32"/>
        </w:rPr>
        <w:t xml:space="preserve">Assessors will: </w:t>
      </w:r>
    </w:p>
    <w:p w14:paraId="4050AE43" w14:textId="3BCA0A9D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Assess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>’ evidence using only the published a</w:t>
      </w:r>
      <w:r w:rsidR="00696FED" w:rsidRPr="00F02101">
        <w:rPr>
          <w:rFonts w:eastAsia="Times New Roman" w:cstheme="minorHAnsi"/>
        </w:rPr>
        <w:t>ssessment and grading criteria</w:t>
      </w:r>
    </w:p>
    <w:p w14:paraId="723A147B" w14:textId="5E1972AF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Ensure that assessment decisions ar</w:t>
      </w:r>
      <w:r w:rsidR="00696FED" w:rsidRPr="00F02101">
        <w:rPr>
          <w:rFonts w:eastAsia="Times New Roman" w:cstheme="minorHAnsi"/>
        </w:rPr>
        <w:t>e impartial, valid and reliable</w:t>
      </w:r>
    </w:p>
    <w:p w14:paraId="3930B236" w14:textId="22A9887C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Not limit or 'cap' </w:t>
      </w:r>
      <w:r w:rsidR="000955A5">
        <w:rPr>
          <w:rFonts w:eastAsia="Times New Roman" w:cstheme="minorHAnsi"/>
        </w:rPr>
        <w:t>Learners</w:t>
      </w:r>
      <w:r w:rsidRPr="00F02101">
        <w:rPr>
          <w:rFonts w:eastAsia="Times New Roman" w:cstheme="minorHAnsi"/>
        </w:rPr>
        <w:t xml:space="preserve"> achiev</w:t>
      </w:r>
      <w:r w:rsidR="00696FED" w:rsidRPr="00F02101">
        <w:rPr>
          <w:rFonts w:eastAsia="Times New Roman" w:cstheme="minorHAnsi"/>
        </w:rPr>
        <w:t>ement if work is submitted late</w:t>
      </w:r>
      <w:r w:rsidR="00014112" w:rsidRPr="00F02101">
        <w:rPr>
          <w:rFonts w:eastAsia="Times New Roman" w:cstheme="minorHAnsi"/>
        </w:rPr>
        <w:t xml:space="preserve"> unless in violation of the </w:t>
      </w:r>
      <w:r w:rsidR="00EC427F">
        <w:rPr>
          <w:rFonts w:eastAsia="Times New Roman" w:cstheme="minorHAnsi"/>
        </w:rPr>
        <w:t>Awarding Body</w:t>
      </w:r>
      <w:r w:rsidR="00014112" w:rsidRPr="00F02101">
        <w:rPr>
          <w:rFonts w:eastAsia="Times New Roman" w:cstheme="minorHAnsi"/>
        </w:rPr>
        <w:t xml:space="preserve"> regulations</w:t>
      </w:r>
    </w:p>
    <w:p w14:paraId="1C31A174" w14:textId="71BFDB18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Maintain accurate and detailed records of assessment </w:t>
      </w:r>
      <w:r w:rsidR="00696FED" w:rsidRPr="00F02101">
        <w:rPr>
          <w:rFonts w:eastAsia="Times New Roman" w:cstheme="minorHAnsi"/>
        </w:rPr>
        <w:t>decisions</w:t>
      </w:r>
    </w:p>
    <w:p w14:paraId="370B9ED5" w14:textId="6845138A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Provide resources to ensure that assessment can be performe</w:t>
      </w:r>
      <w:r w:rsidR="00696FED" w:rsidRPr="00F02101">
        <w:rPr>
          <w:rFonts w:eastAsia="Times New Roman" w:cstheme="minorHAnsi"/>
        </w:rPr>
        <w:t>d accurately and appropriately</w:t>
      </w:r>
    </w:p>
    <w:p w14:paraId="53D913FD" w14:textId="3D0B7DA9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lastRenderedPageBreak/>
        <w:t>Provide feedback to candidates within two weeks of receiving submissions, providing feedback as to how any grade can be improved along with a resubmissi</w:t>
      </w:r>
      <w:r w:rsidR="00696FED" w:rsidRPr="00F02101">
        <w:rPr>
          <w:rFonts w:eastAsia="Times New Roman" w:cstheme="minorHAnsi"/>
        </w:rPr>
        <w:t>on date</w:t>
      </w:r>
    </w:p>
    <w:p w14:paraId="49E0BD1B" w14:textId="7CE07EC7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Provide samples as requested by the IV/Lead IV, including for External Verification/Standardisation if</w:t>
      </w:r>
      <w:r w:rsidR="00696FED" w:rsidRPr="00F02101">
        <w:rPr>
          <w:rFonts w:eastAsia="Times New Roman" w:cstheme="minorHAnsi"/>
        </w:rPr>
        <w:t xml:space="preserve"> required by the </w:t>
      </w:r>
      <w:r w:rsidR="00EC427F">
        <w:rPr>
          <w:rFonts w:eastAsia="Times New Roman" w:cstheme="minorHAnsi"/>
        </w:rPr>
        <w:t>Awarding Body</w:t>
      </w:r>
      <w:r w:rsidR="00014112" w:rsidRPr="00F02101">
        <w:rPr>
          <w:rFonts w:eastAsia="Times New Roman" w:cstheme="minorHAnsi"/>
        </w:rPr>
        <w:t xml:space="preserve"> including where appropriate but not limited to blind marking</w:t>
      </w:r>
    </w:p>
    <w:p w14:paraId="4DC399BD" w14:textId="4B6C95F3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Monitor IV and EV/Standardisation reports and undertak</w:t>
      </w:r>
      <w:r w:rsidR="00696FED" w:rsidRPr="00F02101">
        <w:rPr>
          <w:rFonts w:eastAsia="Times New Roman" w:cstheme="minorHAnsi"/>
        </w:rPr>
        <w:t>e any remedial action required</w:t>
      </w:r>
    </w:p>
    <w:p w14:paraId="63EDB4D6" w14:textId="1FC15648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Share good assessment pr</w:t>
      </w:r>
      <w:r w:rsidR="00696FED" w:rsidRPr="00F02101">
        <w:rPr>
          <w:rFonts w:eastAsia="Times New Roman" w:cstheme="minorHAnsi"/>
        </w:rPr>
        <w:t>actice between all departments</w:t>
      </w:r>
    </w:p>
    <w:p w14:paraId="313F5307" w14:textId="3EA79D0A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Ensure that assessment methodology and the role of the </w:t>
      </w:r>
      <w:r w:rsidR="00EC427F">
        <w:rPr>
          <w:rFonts w:eastAsia="Times New Roman" w:cstheme="minorHAnsi"/>
        </w:rPr>
        <w:t>A</w:t>
      </w:r>
      <w:r w:rsidRPr="00F02101">
        <w:rPr>
          <w:rFonts w:eastAsia="Times New Roman" w:cstheme="minorHAnsi"/>
        </w:rPr>
        <w:t>ssess</w:t>
      </w:r>
      <w:r w:rsidR="00696FED" w:rsidRPr="00F02101">
        <w:rPr>
          <w:rFonts w:eastAsia="Times New Roman" w:cstheme="minorHAnsi"/>
        </w:rPr>
        <w:t>or are understood by all staff</w:t>
      </w:r>
    </w:p>
    <w:p w14:paraId="656112DA" w14:textId="3F405B21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Provide resources to ensure that assessment can be performe</w:t>
      </w:r>
      <w:r w:rsidR="00696FED" w:rsidRPr="00F02101">
        <w:rPr>
          <w:rFonts w:eastAsia="Times New Roman" w:cstheme="minorHAnsi"/>
        </w:rPr>
        <w:t>d accurately and appropriately</w:t>
      </w:r>
    </w:p>
    <w:p w14:paraId="581D10D5" w14:textId="22F4DA4E" w:rsidR="00297EC5" w:rsidRPr="00F02101" w:rsidRDefault="00297EC5" w:rsidP="00F0210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>Send appropriate information to the Quality Nomin</w:t>
      </w:r>
      <w:r w:rsidR="00696FED" w:rsidRPr="00F02101">
        <w:rPr>
          <w:rFonts w:eastAsia="Times New Roman" w:cstheme="minorHAnsi"/>
        </w:rPr>
        <w:t>ee (Pearson only) when required</w:t>
      </w:r>
    </w:p>
    <w:p w14:paraId="71E1FC17" w14:textId="77777777" w:rsidR="00EC427F" w:rsidRDefault="00EC427F" w:rsidP="00F02101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p w14:paraId="6E1B9AD6" w14:textId="2667A998" w:rsidR="00297EC5" w:rsidRPr="00C33CB6" w:rsidRDefault="00297EC5" w:rsidP="00F02101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C33CB6">
        <w:rPr>
          <w:rFonts w:eastAsia="Times New Roman" w:cstheme="minorHAnsi"/>
          <w:b/>
          <w:bCs/>
          <w:sz w:val="32"/>
          <w:szCs w:val="32"/>
        </w:rPr>
        <w:t>External Assessments</w:t>
      </w:r>
    </w:p>
    <w:p w14:paraId="340FED51" w14:textId="1F98652B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Any </w:t>
      </w:r>
      <w:r w:rsidR="00C33CB6">
        <w:rPr>
          <w:rFonts w:eastAsia="Times New Roman" w:cstheme="minorHAnsi"/>
        </w:rPr>
        <w:t>T</w:t>
      </w:r>
      <w:r w:rsidRPr="00F02101">
        <w:rPr>
          <w:rFonts w:eastAsia="Times New Roman" w:cstheme="minorHAnsi"/>
        </w:rPr>
        <w:t xml:space="preserve">eachers involved in organising and managing external assessments must adhere to the external assessment requirements set down by the </w:t>
      </w:r>
      <w:r w:rsidR="00EC427F">
        <w:rPr>
          <w:rFonts w:eastAsia="Times New Roman" w:cstheme="minorHAnsi"/>
        </w:rPr>
        <w:t>Awarding Body</w:t>
      </w:r>
      <w:r w:rsidRPr="00F02101">
        <w:rPr>
          <w:rFonts w:eastAsia="Times New Roman" w:cstheme="minorHAnsi"/>
        </w:rPr>
        <w:t xml:space="preserve"> concerned. </w:t>
      </w:r>
    </w:p>
    <w:p w14:paraId="346DF4E5" w14:textId="77777777" w:rsidR="00C33CB6" w:rsidRPr="00F02101" w:rsidRDefault="00C33CB6" w:rsidP="00F02101">
      <w:pPr>
        <w:spacing w:after="0" w:line="240" w:lineRule="auto"/>
        <w:rPr>
          <w:rFonts w:eastAsia="Times New Roman" w:cstheme="minorHAnsi"/>
        </w:rPr>
      </w:pPr>
    </w:p>
    <w:p w14:paraId="621013B7" w14:textId="2A70F0B3" w:rsidR="00297EC5" w:rsidRDefault="00297EC5" w:rsidP="00F02101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The relevant </w:t>
      </w:r>
      <w:r w:rsidR="00C33CB6">
        <w:rPr>
          <w:rFonts w:eastAsia="Times New Roman" w:cstheme="minorHAnsi"/>
        </w:rPr>
        <w:t>P</w:t>
      </w:r>
      <w:r w:rsidRPr="00F02101">
        <w:rPr>
          <w:rFonts w:eastAsia="Times New Roman" w:cstheme="minorHAnsi"/>
        </w:rPr>
        <w:t xml:space="preserve">olicies and </w:t>
      </w:r>
      <w:r w:rsidR="00C33CB6">
        <w:rPr>
          <w:rFonts w:eastAsia="Times New Roman" w:cstheme="minorHAnsi"/>
        </w:rPr>
        <w:t>P</w:t>
      </w:r>
      <w:r w:rsidRPr="00F02101">
        <w:rPr>
          <w:rFonts w:eastAsia="Times New Roman" w:cstheme="minorHAnsi"/>
        </w:rPr>
        <w:t xml:space="preserve">rocedures may be found here: </w:t>
      </w:r>
    </w:p>
    <w:p w14:paraId="49CEC03E" w14:textId="77777777" w:rsidR="00C33CB6" w:rsidRPr="00F02101" w:rsidRDefault="00C33CB6" w:rsidP="00F02101">
      <w:pPr>
        <w:spacing w:after="0" w:line="240" w:lineRule="auto"/>
        <w:rPr>
          <w:rFonts w:eastAsia="Times New Roman" w:cstheme="minorHAnsi"/>
        </w:rPr>
      </w:pPr>
    </w:p>
    <w:p w14:paraId="118F3DAC" w14:textId="13D292FD" w:rsidR="005744DD" w:rsidRPr="00C33CB6" w:rsidRDefault="005744DD" w:rsidP="00F0210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C33CB6">
        <w:rPr>
          <w:rFonts w:eastAsia="Times New Roman" w:cstheme="minorHAnsi"/>
          <w:b/>
          <w:sz w:val="28"/>
          <w:szCs w:val="28"/>
        </w:rPr>
        <w:t xml:space="preserve">UAL </w:t>
      </w:r>
      <w:r w:rsidR="00EC427F" w:rsidRPr="00C33CB6">
        <w:rPr>
          <w:rFonts w:eastAsia="Times New Roman" w:cstheme="minorHAnsi"/>
          <w:b/>
          <w:sz w:val="28"/>
          <w:szCs w:val="28"/>
        </w:rPr>
        <w:t>Awarding Body</w:t>
      </w:r>
      <w:r w:rsidRPr="00C33CB6">
        <w:rPr>
          <w:rFonts w:eastAsia="Times New Roman" w:cstheme="minorHAnsi"/>
          <w:b/>
          <w:sz w:val="28"/>
          <w:szCs w:val="28"/>
        </w:rPr>
        <w:t xml:space="preserve"> (</w:t>
      </w:r>
      <w:r w:rsidR="00C33CB6" w:rsidRPr="00C33CB6">
        <w:rPr>
          <w:rFonts w:eastAsia="Times New Roman" w:cstheme="minorHAnsi"/>
          <w:b/>
          <w:sz w:val="28"/>
          <w:szCs w:val="28"/>
        </w:rPr>
        <w:t>P</w:t>
      </w:r>
      <w:r w:rsidRPr="00C33CB6">
        <w:rPr>
          <w:rFonts w:eastAsia="Times New Roman" w:cstheme="minorHAnsi"/>
          <w:b/>
          <w:sz w:val="28"/>
          <w:szCs w:val="28"/>
        </w:rPr>
        <w:t xml:space="preserve">erforming </w:t>
      </w:r>
      <w:r w:rsidR="00C33CB6" w:rsidRPr="00C33CB6">
        <w:rPr>
          <w:rFonts w:eastAsia="Times New Roman" w:cstheme="minorHAnsi"/>
          <w:b/>
          <w:sz w:val="28"/>
          <w:szCs w:val="28"/>
        </w:rPr>
        <w:t>A</w:t>
      </w:r>
      <w:r w:rsidRPr="00C33CB6">
        <w:rPr>
          <w:rFonts w:eastAsia="Times New Roman" w:cstheme="minorHAnsi"/>
          <w:b/>
          <w:sz w:val="28"/>
          <w:szCs w:val="28"/>
        </w:rPr>
        <w:t>rts)</w:t>
      </w:r>
    </w:p>
    <w:p w14:paraId="66C81732" w14:textId="4B1EA028" w:rsidR="005744DD" w:rsidRDefault="005744DD" w:rsidP="00F02101">
      <w:pPr>
        <w:spacing w:after="0" w:line="240" w:lineRule="auto"/>
        <w:rPr>
          <w:rFonts w:eastAsia="Times New Roman" w:cstheme="minorHAnsi"/>
        </w:rPr>
      </w:pPr>
      <w:bookmarkStart w:id="0" w:name="_Hlk160207884"/>
      <w:r w:rsidRPr="00F02101">
        <w:rPr>
          <w:rFonts w:eastAsia="Times New Roman" w:cstheme="minorHAnsi"/>
        </w:rPr>
        <w:t xml:space="preserve">All </w:t>
      </w:r>
      <w:r w:rsidR="00C33CB6">
        <w:rPr>
          <w:rFonts w:eastAsia="Times New Roman" w:cstheme="minorHAnsi"/>
        </w:rPr>
        <w:t>P</w:t>
      </w:r>
      <w:r w:rsidRPr="00F02101">
        <w:rPr>
          <w:rFonts w:eastAsia="Times New Roman" w:cstheme="minorHAnsi"/>
        </w:rPr>
        <w:t xml:space="preserve">olicies can be found on the UAL </w:t>
      </w:r>
      <w:r w:rsidR="00EC427F">
        <w:rPr>
          <w:rFonts w:eastAsia="Times New Roman" w:cstheme="minorHAnsi"/>
        </w:rPr>
        <w:t>Awarding Body</w:t>
      </w:r>
      <w:r w:rsidRPr="00F02101">
        <w:rPr>
          <w:rFonts w:eastAsia="Times New Roman" w:cstheme="minorHAnsi"/>
        </w:rPr>
        <w:t xml:space="preserve"> websit</w:t>
      </w:r>
      <w:r w:rsidR="007452C8">
        <w:rPr>
          <w:rFonts w:eastAsia="Times New Roman" w:cstheme="minorHAnsi"/>
        </w:rPr>
        <w:t>e:</w:t>
      </w:r>
      <w:r w:rsidRPr="00F02101">
        <w:rPr>
          <w:rFonts w:eastAsia="Times New Roman" w:cstheme="minorHAnsi"/>
        </w:rPr>
        <w:t xml:space="preserve"> </w:t>
      </w:r>
    </w:p>
    <w:bookmarkEnd w:id="0"/>
    <w:p w14:paraId="4EB734FF" w14:textId="3066A8EC" w:rsidR="00C33CB6" w:rsidRDefault="00BA237F" w:rsidP="00F0210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HYPERLINK "</w:instrText>
      </w:r>
      <w:r w:rsidRPr="00BA237F">
        <w:rPr>
          <w:rFonts w:eastAsia="Times New Roman" w:cstheme="minorHAnsi"/>
        </w:rPr>
        <w:instrText>https://www.arts.ac.uk/partnerships/ual-awarding-body/qualifications/performing-arts</w:instrText>
      </w:r>
      <w:r>
        <w:rPr>
          <w:rFonts w:eastAsia="Times New Roman" w:cstheme="minorHAnsi"/>
        </w:rPr>
        <w:instrText xml:space="preserve">"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Pr="00FD14B9">
        <w:rPr>
          <w:rStyle w:val="Hyperlink"/>
          <w:rFonts w:eastAsia="Times New Roman" w:cstheme="minorHAnsi"/>
        </w:rPr>
        <w:t>https://www.arts.ac.uk/partnerships/ual-awarding-body/qualifications/performing-arts</w:t>
      </w:r>
      <w:r>
        <w:rPr>
          <w:rFonts w:eastAsia="Times New Roman" w:cstheme="minorHAnsi"/>
        </w:rPr>
        <w:fldChar w:fldCharType="end"/>
      </w:r>
    </w:p>
    <w:p w14:paraId="68C054B3" w14:textId="77777777" w:rsidR="00BA237F" w:rsidRDefault="00BA237F" w:rsidP="00F02101">
      <w:pPr>
        <w:spacing w:after="0" w:line="240" w:lineRule="auto"/>
        <w:rPr>
          <w:rFonts w:eastAsia="Times New Roman" w:cstheme="minorHAnsi"/>
        </w:rPr>
      </w:pPr>
    </w:p>
    <w:p w14:paraId="6C9B1A3D" w14:textId="050F43CC" w:rsidR="00C33CB6" w:rsidRPr="007452C8" w:rsidRDefault="00C33CB6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7452C8">
        <w:rPr>
          <w:rFonts w:eastAsia="Times New Roman" w:cstheme="minorHAnsi"/>
          <w:b/>
          <w:bCs/>
          <w:sz w:val="28"/>
          <w:szCs w:val="28"/>
        </w:rPr>
        <w:t>Active IQ Awarding Body (Fitness)</w:t>
      </w:r>
    </w:p>
    <w:p w14:paraId="6FD3CD7A" w14:textId="4247292C" w:rsidR="00BA237F" w:rsidRDefault="00BA237F" w:rsidP="00F02101">
      <w:pPr>
        <w:spacing w:after="0" w:line="240" w:lineRule="auto"/>
        <w:rPr>
          <w:rFonts w:eastAsia="Times New Roman" w:cstheme="minorHAnsi"/>
        </w:rPr>
      </w:pPr>
      <w:r w:rsidRPr="00BA237F">
        <w:rPr>
          <w:rFonts w:eastAsia="Times New Roman" w:cstheme="minorHAnsi"/>
        </w:rPr>
        <w:t>All Policies can be found on the</w:t>
      </w:r>
      <w:r>
        <w:rPr>
          <w:rFonts w:eastAsia="Times New Roman" w:cstheme="minorHAnsi"/>
        </w:rPr>
        <w:t xml:space="preserve"> Active IQ</w:t>
      </w:r>
      <w:r w:rsidRPr="00BA237F">
        <w:rPr>
          <w:rFonts w:eastAsia="Times New Roman" w:cstheme="minorHAnsi"/>
        </w:rPr>
        <w:t xml:space="preserve"> Awarding Body website:</w:t>
      </w:r>
    </w:p>
    <w:p w14:paraId="0ED77672" w14:textId="6CD319E5" w:rsidR="00C33CB6" w:rsidRDefault="00000000" w:rsidP="00F02101">
      <w:pPr>
        <w:spacing w:after="0" w:line="240" w:lineRule="auto"/>
        <w:rPr>
          <w:rFonts w:eastAsia="Times New Roman" w:cstheme="minorHAnsi"/>
        </w:rPr>
      </w:pPr>
      <w:hyperlink r:id="rId8" w:history="1">
        <w:r w:rsidR="00BA237F" w:rsidRPr="00FD14B9">
          <w:rPr>
            <w:rStyle w:val="Hyperlink"/>
            <w:rFonts w:eastAsia="Times New Roman" w:cstheme="minorHAnsi"/>
          </w:rPr>
          <w:t>https://activeiq.co.uk/</w:t>
        </w:r>
      </w:hyperlink>
    </w:p>
    <w:p w14:paraId="43C76D3C" w14:textId="77777777" w:rsidR="00BA237F" w:rsidRDefault="00BA237F" w:rsidP="00F02101">
      <w:pPr>
        <w:spacing w:after="0" w:line="240" w:lineRule="auto"/>
        <w:rPr>
          <w:rFonts w:eastAsia="Times New Roman" w:cstheme="minorHAnsi"/>
        </w:rPr>
      </w:pPr>
    </w:p>
    <w:p w14:paraId="27614351" w14:textId="0D538EA6" w:rsidR="00C33CB6" w:rsidRPr="007452C8" w:rsidRDefault="00C33CB6" w:rsidP="00F021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7452C8">
        <w:rPr>
          <w:rFonts w:eastAsia="Times New Roman" w:cstheme="minorHAnsi"/>
          <w:b/>
          <w:bCs/>
          <w:sz w:val="28"/>
          <w:szCs w:val="28"/>
        </w:rPr>
        <w:t>VTCT Awarding Body (Beauty)</w:t>
      </w:r>
    </w:p>
    <w:p w14:paraId="35882D10" w14:textId="1D9B0810" w:rsidR="00BA237F" w:rsidRDefault="00BA237F" w:rsidP="00F02101">
      <w:pPr>
        <w:spacing w:after="0" w:line="240" w:lineRule="auto"/>
        <w:rPr>
          <w:rFonts w:eastAsia="Times New Roman" w:cstheme="minorHAnsi"/>
        </w:rPr>
      </w:pPr>
      <w:r w:rsidRPr="00BA237F">
        <w:rPr>
          <w:rFonts w:eastAsia="Times New Roman" w:cstheme="minorHAnsi"/>
        </w:rPr>
        <w:t xml:space="preserve">All Policies can be found on the </w:t>
      </w:r>
      <w:r>
        <w:rPr>
          <w:rFonts w:eastAsia="Times New Roman" w:cstheme="minorHAnsi"/>
        </w:rPr>
        <w:t>VTCT</w:t>
      </w:r>
      <w:r w:rsidRPr="00BA237F">
        <w:rPr>
          <w:rFonts w:eastAsia="Times New Roman" w:cstheme="minorHAnsi"/>
        </w:rPr>
        <w:t xml:space="preserve"> Awarding Body website:</w:t>
      </w:r>
    </w:p>
    <w:p w14:paraId="375A658D" w14:textId="6B9F1DB5" w:rsidR="00C33CB6" w:rsidRPr="00BA237F" w:rsidRDefault="00000000" w:rsidP="00F02101">
      <w:pPr>
        <w:spacing w:after="0" w:line="240" w:lineRule="auto"/>
        <w:rPr>
          <w:rFonts w:eastAsia="Times New Roman" w:cstheme="minorHAnsi"/>
        </w:rPr>
      </w:pPr>
      <w:hyperlink r:id="rId9" w:history="1">
        <w:r w:rsidR="00BA237F" w:rsidRPr="00FD14B9">
          <w:rPr>
            <w:rStyle w:val="Hyperlink"/>
            <w:rFonts w:eastAsia="Times New Roman" w:cstheme="minorHAnsi"/>
          </w:rPr>
          <w:t>https://www.vtct.org.uk/</w:t>
        </w:r>
      </w:hyperlink>
    </w:p>
    <w:p w14:paraId="49278F6F" w14:textId="77777777" w:rsidR="00BA237F" w:rsidRDefault="00BA237F" w:rsidP="00F02101">
      <w:pPr>
        <w:spacing w:after="0" w:line="240" w:lineRule="auto"/>
        <w:rPr>
          <w:rFonts w:eastAsia="Times New Roman" w:cstheme="minorHAnsi"/>
          <w:b/>
          <w:bCs/>
        </w:rPr>
      </w:pPr>
    </w:p>
    <w:p w14:paraId="252EC9EF" w14:textId="5F9121CE" w:rsidR="00297EC5" w:rsidRDefault="00297EC5" w:rsidP="00F0210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33CB6">
        <w:rPr>
          <w:rFonts w:eastAsia="Times New Roman" w:cstheme="minorHAnsi"/>
          <w:b/>
          <w:bCs/>
          <w:sz w:val="28"/>
          <w:szCs w:val="28"/>
        </w:rPr>
        <w:t>Pearson Functional Skills</w:t>
      </w:r>
      <w:r w:rsidRPr="00C33CB6">
        <w:rPr>
          <w:rFonts w:eastAsia="Times New Roman" w:cstheme="minorHAnsi"/>
          <w:sz w:val="28"/>
          <w:szCs w:val="28"/>
        </w:rPr>
        <w:t xml:space="preserve"> </w:t>
      </w:r>
    </w:p>
    <w:p w14:paraId="4ED50C94" w14:textId="41DA14C3" w:rsidR="00BA237F" w:rsidRDefault="00BA237F" w:rsidP="00BA237F">
      <w:pPr>
        <w:spacing w:after="0" w:line="240" w:lineRule="auto"/>
        <w:rPr>
          <w:rFonts w:eastAsia="Times New Roman" w:cstheme="minorHAnsi"/>
        </w:rPr>
      </w:pPr>
      <w:r w:rsidRPr="00F02101">
        <w:rPr>
          <w:rFonts w:eastAsia="Times New Roman" w:cstheme="minorHAnsi"/>
        </w:rPr>
        <w:t xml:space="preserve">All </w:t>
      </w:r>
      <w:r>
        <w:rPr>
          <w:rFonts w:eastAsia="Times New Roman" w:cstheme="minorHAnsi"/>
        </w:rPr>
        <w:t>P</w:t>
      </w:r>
      <w:r w:rsidRPr="00F02101">
        <w:rPr>
          <w:rFonts w:eastAsia="Times New Roman" w:cstheme="minorHAnsi"/>
        </w:rPr>
        <w:t xml:space="preserve">olicies can be found on the </w:t>
      </w:r>
      <w:r>
        <w:rPr>
          <w:rFonts w:eastAsia="Times New Roman" w:cstheme="minorHAnsi"/>
        </w:rPr>
        <w:t>Pearson</w:t>
      </w:r>
      <w:r w:rsidRPr="00F0210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Awarding Body</w:t>
      </w:r>
      <w:r w:rsidRPr="00F02101">
        <w:rPr>
          <w:rFonts w:eastAsia="Times New Roman" w:cstheme="minorHAnsi"/>
        </w:rPr>
        <w:t xml:space="preserve"> websit</w:t>
      </w:r>
      <w:r>
        <w:rPr>
          <w:rFonts w:eastAsia="Times New Roman" w:cstheme="minorHAnsi"/>
        </w:rPr>
        <w:t>e:</w:t>
      </w:r>
      <w:r w:rsidRPr="00F02101">
        <w:rPr>
          <w:rFonts w:eastAsia="Times New Roman" w:cstheme="minorHAnsi"/>
        </w:rPr>
        <w:t xml:space="preserve"> </w:t>
      </w:r>
    </w:p>
    <w:p w14:paraId="5DCACD6D" w14:textId="25A52F85" w:rsidR="00BA237F" w:rsidRPr="00BA237F" w:rsidRDefault="00000000" w:rsidP="00F02101">
      <w:pPr>
        <w:spacing w:after="0" w:line="240" w:lineRule="auto"/>
        <w:rPr>
          <w:rFonts w:eastAsia="Times New Roman" w:cstheme="minorHAnsi"/>
        </w:rPr>
      </w:pPr>
      <w:hyperlink r:id="rId10" w:history="1">
        <w:r w:rsidR="00BA237F" w:rsidRPr="00BA237F">
          <w:rPr>
            <w:rStyle w:val="Hyperlink"/>
            <w:rFonts w:eastAsia="Times New Roman" w:cstheme="minorHAnsi"/>
          </w:rPr>
          <w:t>https://qualifications.pearson.com/en/home.html</w:t>
        </w:r>
      </w:hyperlink>
    </w:p>
    <w:p w14:paraId="4B2144B9" w14:textId="77777777" w:rsidR="00BA237F" w:rsidRPr="00C33CB6" w:rsidRDefault="00BA237F" w:rsidP="00F0210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1C837B" w14:textId="534838C2" w:rsidR="00C33CB6" w:rsidRDefault="00C33CB6" w:rsidP="00F02101">
      <w:pPr>
        <w:spacing w:after="0" w:line="240" w:lineRule="auto"/>
        <w:rPr>
          <w:rFonts w:eastAsia="Times New Roman" w:cstheme="minorHAnsi"/>
        </w:rPr>
      </w:pPr>
    </w:p>
    <w:p w14:paraId="14B64B5D" w14:textId="3075DCF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34A9DF32" w14:textId="73E44C3D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184DC084" w14:textId="79DF4145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04D7F28D" w14:textId="6B80AFB6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42E1C491" w14:textId="6A3EB46F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029CE44A" w14:textId="57EE95D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76F64FD6" w14:textId="6261BE93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5AD8F4BA" w14:textId="50316FEA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139F56E0" w14:textId="62D4944F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104A78BD" w14:textId="14069C9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5CB1191A" w14:textId="111CDDA7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1B701607" w14:textId="3609D386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3204925F" w14:textId="7470266B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0D7EC3E5" w14:textId="532DE6C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22FA6DA8" w14:textId="7C4D7CF3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6B77B074" w14:textId="69B9436E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215DAAEE" w14:textId="21732C0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5A6BD709" w14:textId="762568B5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142ECBF0" w14:textId="6252641E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0DD7BA01" w14:textId="28076971" w:rsidR="00C5484F" w:rsidRDefault="00C5484F" w:rsidP="00F02101">
      <w:pPr>
        <w:spacing w:after="0" w:line="240" w:lineRule="auto"/>
        <w:rPr>
          <w:rFonts w:eastAsia="Times New Roman" w:cstheme="minorHAnsi"/>
        </w:rPr>
      </w:pPr>
    </w:p>
    <w:p w14:paraId="3F64ECEB" w14:textId="1DE1B72F" w:rsidR="00C5484F" w:rsidRPr="00C5484F" w:rsidRDefault="00C5484F" w:rsidP="00C5484F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sz w:val="18"/>
          <w:szCs w:val="18"/>
        </w:rPr>
      </w:pPr>
    </w:p>
    <w:p w14:paraId="773D484F" w14:textId="050BEE6C" w:rsidR="00C5484F" w:rsidRPr="00C5484F" w:rsidRDefault="00C5484F" w:rsidP="00C5484F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sz w:val="18"/>
          <w:szCs w:val="18"/>
        </w:rPr>
      </w:pPr>
    </w:p>
    <w:p w14:paraId="0F69ECD1" w14:textId="35713B9A" w:rsidR="00C5484F" w:rsidRPr="00F02101" w:rsidRDefault="00C5484F" w:rsidP="00C5484F">
      <w:pPr>
        <w:spacing w:after="0" w:line="240" w:lineRule="auto"/>
        <w:jc w:val="center"/>
        <w:rPr>
          <w:rFonts w:eastAsia="Times New Roman" w:cstheme="minorHAnsi"/>
        </w:rPr>
      </w:pPr>
      <w:r w:rsidRPr="00C5484F">
        <w:rPr>
          <w:rFonts w:eastAsia="Times New Roman" w:cstheme="minorHAnsi"/>
          <w:color w:val="BFBFBF" w:themeColor="background1" w:themeShade="BF"/>
          <w:sz w:val="18"/>
          <w:szCs w:val="18"/>
        </w:rPr>
        <w:t xml:space="preserve">RTA </w:t>
      </w:r>
      <w:r w:rsidR="000955A5">
        <w:rPr>
          <w:rFonts w:eastAsia="Times New Roman" w:cstheme="minorHAnsi"/>
          <w:color w:val="BFBFBF" w:themeColor="background1" w:themeShade="BF"/>
          <w:sz w:val="18"/>
          <w:szCs w:val="18"/>
        </w:rPr>
        <w:t>Learners</w:t>
      </w:r>
      <w:r w:rsidRPr="00C5484F">
        <w:rPr>
          <w:rFonts w:eastAsia="Times New Roman" w:cstheme="minorHAnsi"/>
          <w:color w:val="BFBFBF" w:themeColor="background1" w:themeShade="BF"/>
          <w:sz w:val="18"/>
          <w:szCs w:val="18"/>
        </w:rPr>
        <w:t xml:space="preserve"> Assessment and Recognised Prior Learning Policy – reviewed </w:t>
      </w:r>
      <w:r w:rsidR="000955A5">
        <w:rPr>
          <w:rFonts w:eastAsia="Times New Roman" w:cstheme="minorHAnsi"/>
          <w:color w:val="BFBFBF" w:themeColor="background1" w:themeShade="BF"/>
          <w:sz w:val="18"/>
          <w:szCs w:val="18"/>
        </w:rPr>
        <w:t xml:space="preserve">8-8-2023 / </w:t>
      </w:r>
      <w:r w:rsidRPr="00C5484F">
        <w:rPr>
          <w:rFonts w:eastAsia="Times New Roman" w:cstheme="minorHAnsi"/>
          <w:color w:val="BFBFBF" w:themeColor="background1" w:themeShade="BF"/>
          <w:sz w:val="18"/>
          <w:szCs w:val="18"/>
        </w:rPr>
        <w:t>1-3-2024</w:t>
      </w:r>
    </w:p>
    <w:sectPr w:rsidR="00C5484F" w:rsidRPr="00F02101" w:rsidSect="00F86E04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69"/>
    <w:multiLevelType w:val="multilevel"/>
    <w:tmpl w:val="58A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4439"/>
    <w:multiLevelType w:val="multilevel"/>
    <w:tmpl w:val="EF4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6624"/>
    <w:multiLevelType w:val="multilevel"/>
    <w:tmpl w:val="8A68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A3F78"/>
    <w:multiLevelType w:val="multilevel"/>
    <w:tmpl w:val="520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075E"/>
    <w:multiLevelType w:val="multilevel"/>
    <w:tmpl w:val="82D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96FDE"/>
    <w:multiLevelType w:val="multilevel"/>
    <w:tmpl w:val="BFD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579C5"/>
    <w:multiLevelType w:val="multilevel"/>
    <w:tmpl w:val="7F7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71CC8"/>
    <w:multiLevelType w:val="multilevel"/>
    <w:tmpl w:val="993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97C6C"/>
    <w:multiLevelType w:val="multilevel"/>
    <w:tmpl w:val="206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90052"/>
    <w:multiLevelType w:val="multilevel"/>
    <w:tmpl w:val="CB3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017C0"/>
    <w:multiLevelType w:val="multilevel"/>
    <w:tmpl w:val="AFB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A0F31"/>
    <w:multiLevelType w:val="multilevel"/>
    <w:tmpl w:val="0A9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FDD"/>
    <w:multiLevelType w:val="multilevel"/>
    <w:tmpl w:val="10F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7090B"/>
    <w:multiLevelType w:val="multilevel"/>
    <w:tmpl w:val="237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600BC"/>
    <w:multiLevelType w:val="multilevel"/>
    <w:tmpl w:val="B29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72FE4"/>
    <w:multiLevelType w:val="multilevel"/>
    <w:tmpl w:val="0612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F64BE"/>
    <w:multiLevelType w:val="multilevel"/>
    <w:tmpl w:val="4DE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22419">
    <w:abstractNumId w:val="1"/>
  </w:num>
  <w:num w:numId="2" w16cid:durableId="537623512">
    <w:abstractNumId w:val="12"/>
  </w:num>
  <w:num w:numId="3" w16cid:durableId="732703438">
    <w:abstractNumId w:val="9"/>
  </w:num>
  <w:num w:numId="4" w16cid:durableId="399639396">
    <w:abstractNumId w:val="0"/>
  </w:num>
  <w:num w:numId="5" w16cid:durableId="8340805">
    <w:abstractNumId w:val="5"/>
  </w:num>
  <w:num w:numId="6" w16cid:durableId="1534801147">
    <w:abstractNumId w:val="16"/>
  </w:num>
  <w:num w:numId="7" w16cid:durableId="1948075307">
    <w:abstractNumId w:val="10"/>
  </w:num>
  <w:num w:numId="8" w16cid:durableId="2133132927">
    <w:abstractNumId w:val="4"/>
  </w:num>
  <w:num w:numId="9" w16cid:durableId="1163276711">
    <w:abstractNumId w:val="3"/>
  </w:num>
  <w:num w:numId="10" w16cid:durableId="800223238">
    <w:abstractNumId w:val="7"/>
  </w:num>
  <w:num w:numId="11" w16cid:durableId="1190139413">
    <w:abstractNumId w:val="13"/>
  </w:num>
  <w:num w:numId="12" w16cid:durableId="140124022">
    <w:abstractNumId w:val="11"/>
  </w:num>
  <w:num w:numId="13" w16cid:durableId="866991365">
    <w:abstractNumId w:val="6"/>
  </w:num>
  <w:num w:numId="14" w16cid:durableId="272789626">
    <w:abstractNumId w:val="15"/>
  </w:num>
  <w:num w:numId="15" w16cid:durableId="847059035">
    <w:abstractNumId w:val="8"/>
  </w:num>
  <w:num w:numId="16" w16cid:durableId="1221985601">
    <w:abstractNumId w:val="2"/>
  </w:num>
  <w:num w:numId="17" w16cid:durableId="16014525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5"/>
    <w:rsid w:val="00014112"/>
    <w:rsid w:val="000955A5"/>
    <w:rsid w:val="001575C5"/>
    <w:rsid w:val="0016435E"/>
    <w:rsid w:val="00297EC5"/>
    <w:rsid w:val="002F2A56"/>
    <w:rsid w:val="00374B7C"/>
    <w:rsid w:val="003A2A9A"/>
    <w:rsid w:val="005744DD"/>
    <w:rsid w:val="0057483D"/>
    <w:rsid w:val="00696FED"/>
    <w:rsid w:val="007452C8"/>
    <w:rsid w:val="00BA237F"/>
    <w:rsid w:val="00C33CB6"/>
    <w:rsid w:val="00C35A62"/>
    <w:rsid w:val="00C5484F"/>
    <w:rsid w:val="00DF4308"/>
    <w:rsid w:val="00EC427F"/>
    <w:rsid w:val="00F02101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BDA4"/>
  <w15:docId w15:val="{005EF75F-252D-406B-888A-1A02B13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7F"/>
  </w:style>
  <w:style w:type="paragraph" w:styleId="Heading1">
    <w:name w:val="heading 1"/>
    <w:basedOn w:val="Normal"/>
    <w:link w:val="Heading1Char"/>
    <w:uiPriority w:val="9"/>
    <w:qFormat/>
    <w:rsid w:val="0029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7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7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7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E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7E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7E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7EC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7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297EC5"/>
  </w:style>
  <w:style w:type="character" w:customStyle="1" w:styleId="tocnumber">
    <w:name w:val="tocnumber"/>
    <w:basedOn w:val="DefaultParagraphFont"/>
    <w:rsid w:val="00297EC5"/>
  </w:style>
  <w:style w:type="character" w:customStyle="1" w:styleId="toctext">
    <w:name w:val="toctext"/>
    <w:basedOn w:val="DefaultParagraphFont"/>
    <w:rsid w:val="00297EC5"/>
  </w:style>
  <w:style w:type="character" w:customStyle="1" w:styleId="mw-headline">
    <w:name w:val="mw-headline"/>
    <w:basedOn w:val="DefaultParagraphFont"/>
    <w:rsid w:val="00297EC5"/>
  </w:style>
  <w:style w:type="paragraph" w:styleId="BalloonText">
    <w:name w:val="Balloon Text"/>
    <w:basedOn w:val="Normal"/>
    <w:link w:val="BalloonTextChar"/>
    <w:uiPriority w:val="99"/>
    <w:semiHidden/>
    <w:unhideWhenUsed/>
    <w:rsid w:val="003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iq.co.uk/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31CF4.EFCF14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alifications.pearson.com/en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B1B1-5A6D-4A43-AEFE-F58A9379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Natasha Sethna</cp:lastModifiedBy>
  <cp:revision>10</cp:revision>
  <cp:lastPrinted>2017-08-08T10:33:00Z</cp:lastPrinted>
  <dcterms:created xsi:type="dcterms:W3CDTF">2022-08-16T10:35:00Z</dcterms:created>
  <dcterms:modified xsi:type="dcterms:W3CDTF">2024-03-06T12:28:00Z</dcterms:modified>
</cp:coreProperties>
</file>