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E9346" w14:textId="2C0E97B7" w:rsidR="008F167A" w:rsidRPr="008F167A" w:rsidRDefault="008F167A" w:rsidP="005F5CEB">
      <w:pPr>
        <w:pStyle w:val="NoSpacing"/>
        <w:jc w:val="center"/>
        <w:rPr>
          <w:rFonts w:ascii="Arial" w:hAnsi="Arial" w:cs="Arial"/>
          <w:b/>
          <w:sz w:val="28"/>
          <w:szCs w:val="28"/>
        </w:rPr>
      </w:pPr>
      <w:bookmarkStart w:id="0" w:name="_GoBack"/>
      <w:bookmarkEnd w:id="0"/>
      <w:r w:rsidRPr="008F167A">
        <w:rPr>
          <w:rFonts w:ascii="Arial" w:hAnsi="Arial" w:cs="Arial"/>
          <w:b/>
          <w:sz w:val="28"/>
          <w:szCs w:val="28"/>
        </w:rPr>
        <w:t>Subcontracting Policy</w:t>
      </w:r>
    </w:p>
    <w:p w14:paraId="6C35E4DA" w14:textId="77777777" w:rsidR="00CD5476" w:rsidRPr="008F167A" w:rsidRDefault="00CD5476" w:rsidP="008F167A">
      <w:pPr>
        <w:pStyle w:val="NoSpacing"/>
      </w:pPr>
    </w:p>
    <w:p w14:paraId="7E69A54B" w14:textId="48B587DB" w:rsidR="00BB535A" w:rsidRDefault="004809CF" w:rsidP="00B616DE">
      <w:pPr>
        <w:rPr>
          <w:rFonts w:ascii="Arial" w:hAnsi="Arial" w:cs="Arial"/>
          <w:b/>
          <w:sz w:val="24"/>
          <w:szCs w:val="24"/>
        </w:rPr>
      </w:pPr>
      <w:r>
        <w:rPr>
          <w:rFonts w:ascii="Arial" w:hAnsi="Arial" w:cs="Arial"/>
          <w:b/>
          <w:sz w:val="24"/>
          <w:szCs w:val="24"/>
        </w:rPr>
        <w:t>1</w:t>
      </w:r>
      <w:r w:rsidR="008F167A" w:rsidRPr="00B616DE">
        <w:rPr>
          <w:rFonts w:ascii="Arial" w:hAnsi="Arial" w:cs="Arial"/>
          <w:b/>
          <w:sz w:val="24"/>
          <w:szCs w:val="24"/>
        </w:rPr>
        <w:t xml:space="preserve">. </w:t>
      </w:r>
      <w:r w:rsidR="00BB535A">
        <w:rPr>
          <w:rFonts w:ascii="Arial" w:hAnsi="Arial" w:cs="Arial"/>
          <w:b/>
          <w:sz w:val="24"/>
          <w:szCs w:val="24"/>
        </w:rPr>
        <w:t>Introduction</w:t>
      </w:r>
    </w:p>
    <w:p w14:paraId="13DF3623" w14:textId="6910FA43" w:rsidR="00BB535A" w:rsidRPr="007A0968" w:rsidRDefault="00AE5B3A" w:rsidP="00BB535A">
      <w:pPr>
        <w:pStyle w:val="NoSpacing"/>
        <w:rPr>
          <w:rFonts w:ascii="Arial" w:hAnsi="Arial" w:cs="Arial"/>
          <w:sz w:val="24"/>
          <w:szCs w:val="24"/>
        </w:rPr>
      </w:pPr>
      <w:r>
        <w:rPr>
          <w:rFonts w:ascii="Arial" w:hAnsi="Arial" w:cs="Arial"/>
          <w:sz w:val="24"/>
          <w:szCs w:val="24"/>
        </w:rPr>
        <w:t>This policy is intended to ensure:</w:t>
      </w:r>
    </w:p>
    <w:p w14:paraId="752C8B05" w14:textId="420C8E6B" w:rsidR="00BB535A" w:rsidRPr="007A0968" w:rsidRDefault="00BB535A" w:rsidP="00E64427">
      <w:pPr>
        <w:pStyle w:val="NoSpacing"/>
        <w:numPr>
          <w:ilvl w:val="0"/>
          <w:numId w:val="3"/>
        </w:numPr>
        <w:rPr>
          <w:rFonts w:ascii="Arial" w:hAnsi="Arial" w:cs="Arial"/>
          <w:sz w:val="24"/>
          <w:szCs w:val="24"/>
        </w:rPr>
      </w:pPr>
      <w:r w:rsidRPr="007A0968">
        <w:rPr>
          <w:rFonts w:ascii="Arial" w:hAnsi="Arial" w:cs="Arial"/>
          <w:sz w:val="24"/>
          <w:szCs w:val="24"/>
        </w:rPr>
        <w:t>the strategic vision an</w:t>
      </w:r>
      <w:r>
        <w:rPr>
          <w:rFonts w:ascii="Arial" w:hAnsi="Arial" w:cs="Arial"/>
          <w:sz w:val="24"/>
          <w:szCs w:val="24"/>
        </w:rPr>
        <w:t>d quality standards of Reynolds Training Academy</w:t>
      </w:r>
      <w:r w:rsidRPr="007A0968">
        <w:rPr>
          <w:rFonts w:ascii="Arial" w:hAnsi="Arial" w:cs="Arial"/>
          <w:sz w:val="24"/>
          <w:szCs w:val="24"/>
        </w:rPr>
        <w:t xml:space="preserve"> </w:t>
      </w:r>
      <w:r w:rsidR="00A34023">
        <w:rPr>
          <w:rFonts w:ascii="Arial" w:hAnsi="Arial" w:cs="Arial"/>
          <w:sz w:val="24"/>
          <w:szCs w:val="24"/>
        </w:rPr>
        <w:t xml:space="preserve">(RTA) </w:t>
      </w:r>
      <w:r w:rsidRPr="007A0968">
        <w:rPr>
          <w:rFonts w:ascii="Arial" w:hAnsi="Arial" w:cs="Arial"/>
          <w:sz w:val="24"/>
          <w:szCs w:val="24"/>
        </w:rPr>
        <w:t xml:space="preserve">are met by subcontracting organisations </w:t>
      </w:r>
    </w:p>
    <w:p w14:paraId="48DE2265" w14:textId="65A78CC2" w:rsidR="00BB535A" w:rsidRPr="007A0968" w:rsidRDefault="00BB535A" w:rsidP="00E64427">
      <w:pPr>
        <w:pStyle w:val="NoSpacing"/>
        <w:numPr>
          <w:ilvl w:val="0"/>
          <w:numId w:val="3"/>
        </w:numPr>
        <w:rPr>
          <w:rFonts w:ascii="Arial" w:hAnsi="Arial" w:cs="Arial"/>
          <w:sz w:val="24"/>
          <w:szCs w:val="24"/>
        </w:rPr>
      </w:pPr>
      <w:r w:rsidRPr="007A0968">
        <w:rPr>
          <w:rFonts w:ascii="Arial" w:hAnsi="Arial" w:cs="Arial"/>
          <w:sz w:val="24"/>
          <w:szCs w:val="24"/>
        </w:rPr>
        <w:t xml:space="preserve">that learners have a high-quality experience </w:t>
      </w:r>
    </w:p>
    <w:p w14:paraId="0CDA65F8" w14:textId="15308C05" w:rsidR="00BB535A" w:rsidRPr="007A0968" w:rsidRDefault="00BB535A" w:rsidP="00E64427">
      <w:pPr>
        <w:pStyle w:val="NoSpacing"/>
        <w:numPr>
          <w:ilvl w:val="0"/>
          <w:numId w:val="3"/>
        </w:numPr>
        <w:rPr>
          <w:rFonts w:ascii="Arial" w:hAnsi="Arial" w:cs="Arial"/>
          <w:sz w:val="24"/>
          <w:szCs w:val="24"/>
        </w:rPr>
      </w:pPr>
      <w:r w:rsidRPr="007A0968">
        <w:rPr>
          <w:rFonts w:ascii="Arial" w:hAnsi="Arial" w:cs="Arial"/>
          <w:sz w:val="24"/>
          <w:szCs w:val="24"/>
        </w:rPr>
        <w:t>value for money is achieved for all government funding</w:t>
      </w:r>
    </w:p>
    <w:p w14:paraId="678CBA36" w14:textId="2C93294E" w:rsidR="00BB535A" w:rsidRDefault="00AE5B3A" w:rsidP="00E64427">
      <w:pPr>
        <w:pStyle w:val="NoSpacing"/>
        <w:numPr>
          <w:ilvl w:val="0"/>
          <w:numId w:val="3"/>
        </w:numPr>
        <w:rPr>
          <w:rFonts w:ascii="Arial" w:hAnsi="Arial" w:cs="Arial"/>
          <w:sz w:val="24"/>
          <w:szCs w:val="24"/>
        </w:rPr>
      </w:pPr>
      <w:r>
        <w:rPr>
          <w:rFonts w:ascii="Arial" w:hAnsi="Arial" w:cs="Arial"/>
          <w:sz w:val="24"/>
          <w:szCs w:val="24"/>
        </w:rPr>
        <w:t>the risk involved in</w:t>
      </w:r>
      <w:r w:rsidR="00BB535A" w:rsidRPr="007A0968">
        <w:rPr>
          <w:rFonts w:ascii="Arial" w:hAnsi="Arial" w:cs="Arial"/>
          <w:sz w:val="24"/>
          <w:szCs w:val="24"/>
        </w:rPr>
        <w:t xml:space="preserve"> sub-contracted provision</w:t>
      </w:r>
      <w:r>
        <w:rPr>
          <w:rFonts w:ascii="Arial" w:hAnsi="Arial" w:cs="Arial"/>
          <w:sz w:val="24"/>
          <w:szCs w:val="24"/>
        </w:rPr>
        <w:t xml:space="preserve"> is managed effectively</w:t>
      </w:r>
    </w:p>
    <w:p w14:paraId="318F0826" w14:textId="77777777" w:rsidR="00BB535A" w:rsidRPr="00BB535A" w:rsidRDefault="00BB535A" w:rsidP="00BB535A">
      <w:pPr>
        <w:pStyle w:val="NoSpacing"/>
        <w:rPr>
          <w:rFonts w:ascii="Arial" w:hAnsi="Arial" w:cs="Arial"/>
          <w:color w:val="1F497D" w:themeColor="text2"/>
          <w:sz w:val="24"/>
          <w:szCs w:val="24"/>
        </w:rPr>
      </w:pPr>
    </w:p>
    <w:p w14:paraId="2F429C8C" w14:textId="3AC2F26C" w:rsidR="008F167A" w:rsidRDefault="004809CF" w:rsidP="008F167A">
      <w:pPr>
        <w:rPr>
          <w:rFonts w:ascii="Arial" w:hAnsi="Arial" w:cs="Arial"/>
          <w:b/>
          <w:sz w:val="24"/>
          <w:szCs w:val="24"/>
        </w:rPr>
      </w:pPr>
      <w:r>
        <w:rPr>
          <w:rFonts w:ascii="Arial" w:hAnsi="Arial" w:cs="Arial"/>
          <w:b/>
          <w:sz w:val="24"/>
          <w:szCs w:val="24"/>
        </w:rPr>
        <w:t>2. Scope</w:t>
      </w:r>
    </w:p>
    <w:p w14:paraId="259BA0D2" w14:textId="5E756145" w:rsidR="004809CF" w:rsidRDefault="004809CF" w:rsidP="008F167A">
      <w:pPr>
        <w:rPr>
          <w:rFonts w:ascii="Arial" w:hAnsi="Arial" w:cs="Arial"/>
          <w:b/>
          <w:sz w:val="24"/>
          <w:szCs w:val="24"/>
        </w:rPr>
      </w:pPr>
      <w:r>
        <w:rPr>
          <w:rFonts w:ascii="Arial" w:hAnsi="Arial" w:cs="Arial"/>
          <w:b/>
          <w:sz w:val="24"/>
          <w:szCs w:val="24"/>
        </w:rPr>
        <w:t>CCG</w:t>
      </w:r>
    </w:p>
    <w:p w14:paraId="71B351D9" w14:textId="77777777" w:rsidR="00BB535A" w:rsidRPr="004809CF" w:rsidRDefault="00BB535A" w:rsidP="00BB535A">
      <w:pPr>
        <w:rPr>
          <w:rFonts w:ascii="Arial" w:hAnsi="Arial" w:cs="Arial"/>
          <w:sz w:val="24"/>
          <w:szCs w:val="24"/>
        </w:rPr>
      </w:pPr>
      <w:r w:rsidRPr="004809CF">
        <w:rPr>
          <w:rFonts w:ascii="Arial" w:hAnsi="Arial" w:cs="Arial"/>
          <w:sz w:val="24"/>
          <w:szCs w:val="24"/>
        </w:rPr>
        <w:t xml:space="preserve">The policy applies to all subcontracted activity funded through the Education and Skills Funding Agency (ESFA) study programme. </w:t>
      </w:r>
    </w:p>
    <w:p w14:paraId="0B984C78" w14:textId="4DF73D25" w:rsidR="00BB535A" w:rsidRPr="00BB535A" w:rsidRDefault="009E6423" w:rsidP="00BB535A">
      <w:pPr>
        <w:rPr>
          <w:rFonts w:ascii="Arial" w:hAnsi="Arial" w:cs="Arial"/>
          <w:b/>
          <w:sz w:val="24"/>
          <w:szCs w:val="24"/>
        </w:rPr>
      </w:pPr>
      <w:r>
        <w:rPr>
          <w:rFonts w:ascii="Arial" w:hAnsi="Arial" w:cs="Arial"/>
          <w:b/>
          <w:sz w:val="24"/>
          <w:szCs w:val="24"/>
        </w:rPr>
        <w:t xml:space="preserve">3. </w:t>
      </w:r>
      <w:r w:rsidR="00BB535A" w:rsidRPr="00BB535A">
        <w:rPr>
          <w:rFonts w:ascii="Arial" w:hAnsi="Arial" w:cs="Arial"/>
          <w:b/>
          <w:sz w:val="24"/>
          <w:szCs w:val="24"/>
        </w:rPr>
        <w:t>Rationale</w:t>
      </w:r>
    </w:p>
    <w:p w14:paraId="591071D9" w14:textId="58B2E3E1" w:rsidR="000E0652" w:rsidRPr="00AF4CE6" w:rsidRDefault="00317110" w:rsidP="00AF4CE6">
      <w:pPr>
        <w:rPr>
          <w:rFonts w:ascii="Arial" w:hAnsi="Arial" w:cs="Arial"/>
          <w:b/>
          <w:color w:val="1F497D" w:themeColor="text2"/>
          <w:sz w:val="24"/>
          <w:szCs w:val="24"/>
        </w:rPr>
      </w:pPr>
      <w:r>
        <w:rPr>
          <w:rFonts w:ascii="Arial" w:hAnsi="Arial" w:cs="Arial"/>
          <w:sz w:val="24"/>
          <w:szCs w:val="24"/>
        </w:rPr>
        <w:t xml:space="preserve">RTA </w:t>
      </w:r>
      <w:r w:rsidRPr="00721C4B">
        <w:rPr>
          <w:rFonts w:ascii="Arial" w:hAnsi="Arial" w:cs="Arial"/>
          <w:sz w:val="24"/>
          <w:szCs w:val="24"/>
        </w:rPr>
        <w:t>is committed to providing high quality training.  As a training organisation we aim to deliver the majority of our delivery directly</w:t>
      </w:r>
      <w:r w:rsidR="00A34023">
        <w:rPr>
          <w:rFonts w:ascii="Arial" w:hAnsi="Arial" w:cs="Arial"/>
          <w:sz w:val="24"/>
          <w:szCs w:val="24"/>
        </w:rPr>
        <w:t>.</w:t>
      </w:r>
      <w:r w:rsidRPr="00721C4B">
        <w:rPr>
          <w:rFonts w:ascii="Arial" w:hAnsi="Arial" w:cs="Arial"/>
          <w:sz w:val="24"/>
          <w:szCs w:val="24"/>
        </w:rPr>
        <w:t xml:space="preserve"> Where we do subcontract provision, we will ensure that the provision is of the same standard we would expect from our own provision and will manage the provision using the same metrics as our direct delivery.</w:t>
      </w:r>
    </w:p>
    <w:p w14:paraId="41B3A527" w14:textId="496A6E9C" w:rsidR="00BB535A" w:rsidRPr="00BB535A" w:rsidRDefault="00A34023" w:rsidP="00BB535A">
      <w:pPr>
        <w:spacing w:after="0" w:line="240" w:lineRule="auto"/>
        <w:rPr>
          <w:rFonts w:ascii="Arial" w:hAnsi="Arial" w:cs="Arial"/>
          <w:sz w:val="24"/>
          <w:szCs w:val="24"/>
        </w:rPr>
      </w:pPr>
      <w:r>
        <w:rPr>
          <w:rFonts w:ascii="Arial" w:hAnsi="Arial" w:cs="Arial"/>
          <w:sz w:val="24"/>
          <w:szCs w:val="24"/>
        </w:rPr>
        <w:t>For RTA to</w:t>
      </w:r>
      <w:r w:rsidR="00BB535A" w:rsidRPr="00BB535A">
        <w:rPr>
          <w:rFonts w:ascii="Arial" w:hAnsi="Arial" w:cs="Arial"/>
          <w:sz w:val="24"/>
          <w:szCs w:val="24"/>
        </w:rPr>
        <w:t xml:space="preserve"> agree a sub-contract one or more of the fo</w:t>
      </w:r>
      <w:r>
        <w:rPr>
          <w:rFonts w:ascii="Arial" w:hAnsi="Arial" w:cs="Arial"/>
          <w:sz w:val="24"/>
          <w:szCs w:val="24"/>
        </w:rPr>
        <w:t>llowing conditions must be met. It:</w:t>
      </w:r>
    </w:p>
    <w:p w14:paraId="23D393B9" w14:textId="13224232" w:rsidR="00BB535A" w:rsidRPr="00A34023" w:rsidRDefault="00BB535A" w:rsidP="00E64427">
      <w:pPr>
        <w:numPr>
          <w:ilvl w:val="0"/>
          <w:numId w:val="5"/>
        </w:numPr>
        <w:spacing w:after="0" w:line="240" w:lineRule="auto"/>
        <w:rPr>
          <w:rFonts w:ascii="Arial" w:hAnsi="Arial" w:cs="Arial"/>
          <w:sz w:val="24"/>
          <w:szCs w:val="24"/>
        </w:rPr>
      </w:pPr>
      <w:r w:rsidRPr="00A34023">
        <w:rPr>
          <w:rFonts w:ascii="Arial" w:hAnsi="Arial" w:cs="Arial"/>
          <w:sz w:val="24"/>
          <w:szCs w:val="24"/>
        </w:rPr>
        <w:t>Enhance</w:t>
      </w:r>
      <w:r w:rsidR="00A34023" w:rsidRPr="00A34023">
        <w:rPr>
          <w:rFonts w:ascii="Arial" w:hAnsi="Arial" w:cs="Arial"/>
          <w:sz w:val="24"/>
          <w:szCs w:val="24"/>
        </w:rPr>
        <w:t>s</w:t>
      </w:r>
      <w:r w:rsidRPr="00A34023">
        <w:rPr>
          <w:rFonts w:ascii="Arial" w:hAnsi="Arial" w:cs="Arial"/>
          <w:sz w:val="24"/>
          <w:szCs w:val="24"/>
        </w:rPr>
        <w:t xml:space="preserve"> the opportunities available to learners</w:t>
      </w:r>
    </w:p>
    <w:p w14:paraId="06D6EFC9" w14:textId="245244BE" w:rsidR="00BB535A" w:rsidRPr="00A34023" w:rsidRDefault="00BB535A" w:rsidP="00E64427">
      <w:pPr>
        <w:numPr>
          <w:ilvl w:val="0"/>
          <w:numId w:val="5"/>
        </w:numPr>
        <w:spacing w:after="0" w:line="240" w:lineRule="auto"/>
        <w:rPr>
          <w:rFonts w:ascii="Arial" w:hAnsi="Arial" w:cs="Arial"/>
          <w:sz w:val="24"/>
          <w:szCs w:val="24"/>
        </w:rPr>
      </w:pPr>
      <w:r w:rsidRPr="00A34023">
        <w:rPr>
          <w:rFonts w:ascii="Arial" w:hAnsi="Arial" w:cs="Arial"/>
          <w:sz w:val="24"/>
          <w:szCs w:val="24"/>
        </w:rPr>
        <w:t>Fill</w:t>
      </w:r>
      <w:r w:rsidR="00A34023" w:rsidRPr="00A34023">
        <w:rPr>
          <w:rFonts w:ascii="Arial" w:hAnsi="Arial" w:cs="Arial"/>
          <w:sz w:val="24"/>
          <w:szCs w:val="24"/>
        </w:rPr>
        <w:t>s</w:t>
      </w:r>
      <w:r w:rsidRPr="00A34023">
        <w:rPr>
          <w:rFonts w:ascii="Arial" w:hAnsi="Arial" w:cs="Arial"/>
          <w:sz w:val="24"/>
          <w:szCs w:val="24"/>
        </w:rPr>
        <w:t xml:space="preserve"> gaps in niche or expert provision or provide better access to facilities</w:t>
      </w:r>
    </w:p>
    <w:p w14:paraId="7EB9A1BF" w14:textId="0323F8EE" w:rsidR="00BB535A" w:rsidRPr="00A34023" w:rsidRDefault="00BB535A" w:rsidP="00E64427">
      <w:pPr>
        <w:numPr>
          <w:ilvl w:val="0"/>
          <w:numId w:val="5"/>
        </w:numPr>
        <w:spacing w:after="0" w:line="240" w:lineRule="auto"/>
        <w:rPr>
          <w:rFonts w:ascii="Arial" w:hAnsi="Arial" w:cs="Arial"/>
          <w:sz w:val="24"/>
          <w:szCs w:val="24"/>
        </w:rPr>
      </w:pPr>
      <w:r w:rsidRPr="00A34023">
        <w:rPr>
          <w:rFonts w:ascii="Arial" w:hAnsi="Arial" w:cs="Arial"/>
          <w:sz w:val="24"/>
          <w:szCs w:val="24"/>
        </w:rPr>
        <w:t>Support</w:t>
      </w:r>
      <w:r w:rsidR="00A34023" w:rsidRPr="00A34023">
        <w:rPr>
          <w:rFonts w:ascii="Arial" w:hAnsi="Arial" w:cs="Arial"/>
          <w:sz w:val="24"/>
          <w:szCs w:val="24"/>
        </w:rPr>
        <w:t>s</w:t>
      </w:r>
      <w:r w:rsidRPr="00A34023">
        <w:rPr>
          <w:rFonts w:ascii="Arial" w:hAnsi="Arial" w:cs="Arial"/>
          <w:sz w:val="24"/>
          <w:szCs w:val="24"/>
        </w:rPr>
        <w:t xml:space="preserve"> better geographical access for learners</w:t>
      </w:r>
    </w:p>
    <w:p w14:paraId="327F1147" w14:textId="16117604" w:rsidR="00BB535A" w:rsidRPr="00A34023" w:rsidRDefault="00BB535A" w:rsidP="00E64427">
      <w:pPr>
        <w:numPr>
          <w:ilvl w:val="0"/>
          <w:numId w:val="5"/>
        </w:numPr>
        <w:spacing w:after="0" w:line="240" w:lineRule="auto"/>
        <w:rPr>
          <w:rFonts w:ascii="Arial" w:hAnsi="Arial" w:cs="Arial"/>
          <w:sz w:val="24"/>
          <w:szCs w:val="24"/>
        </w:rPr>
      </w:pPr>
      <w:r w:rsidRPr="00A34023">
        <w:rPr>
          <w:rFonts w:ascii="Arial" w:hAnsi="Arial" w:cs="Arial"/>
          <w:sz w:val="24"/>
          <w:szCs w:val="24"/>
        </w:rPr>
        <w:t>Support</w:t>
      </w:r>
      <w:r w:rsidR="00A34023" w:rsidRPr="00A34023">
        <w:rPr>
          <w:rFonts w:ascii="Arial" w:hAnsi="Arial" w:cs="Arial"/>
          <w:sz w:val="24"/>
          <w:szCs w:val="24"/>
        </w:rPr>
        <w:t>s</w:t>
      </w:r>
      <w:r w:rsidRPr="00A34023">
        <w:rPr>
          <w:rFonts w:ascii="Arial" w:hAnsi="Arial" w:cs="Arial"/>
          <w:sz w:val="24"/>
          <w:szCs w:val="24"/>
        </w:rPr>
        <w:t xml:space="preserve"> an entry point for disadvantaged groups</w:t>
      </w:r>
    </w:p>
    <w:p w14:paraId="7C64F16E" w14:textId="36E929BC" w:rsidR="00BB535A" w:rsidRPr="00A34023" w:rsidRDefault="00BB535A" w:rsidP="00E64427">
      <w:pPr>
        <w:numPr>
          <w:ilvl w:val="0"/>
          <w:numId w:val="5"/>
        </w:numPr>
        <w:spacing w:after="0" w:line="240" w:lineRule="auto"/>
        <w:rPr>
          <w:rFonts w:ascii="Arial" w:hAnsi="Arial" w:cs="Arial"/>
          <w:sz w:val="24"/>
          <w:szCs w:val="24"/>
        </w:rPr>
      </w:pPr>
      <w:r w:rsidRPr="00A34023">
        <w:rPr>
          <w:rFonts w:ascii="Arial" w:hAnsi="Arial" w:cs="Arial"/>
          <w:sz w:val="24"/>
          <w:szCs w:val="24"/>
        </w:rPr>
        <w:t>Support</w:t>
      </w:r>
      <w:r w:rsidR="00A34023" w:rsidRPr="00A34023">
        <w:rPr>
          <w:rFonts w:ascii="Arial" w:hAnsi="Arial" w:cs="Arial"/>
          <w:sz w:val="24"/>
          <w:szCs w:val="24"/>
        </w:rPr>
        <w:t>s</w:t>
      </w:r>
      <w:r w:rsidRPr="00A34023">
        <w:rPr>
          <w:rFonts w:ascii="Arial" w:hAnsi="Arial" w:cs="Arial"/>
          <w:sz w:val="24"/>
          <w:szCs w:val="24"/>
        </w:rPr>
        <w:t xml:space="preserve"> individuals who share protected characteristics, where there might otherwise be gaps</w:t>
      </w:r>
    </w:p>
    <w:p w14:paraId="6FF387CB" w14:textId="77777777" w:rsidR="00BB535A" w:rsidRPr="00BB535A" w:rsidRDefault="00BB535A" w:rsidP="00317110">
      <w:pPr>
        <w:spacing w:after="0" w:line="240" w:lineRule="auto"/>
        <w:rPr>
          <w:rFonts w:ascii="Arial" w:hAnsi="Arial" w:cs="Arial"/>
          <w:color w:val="1F497D" w:themeColor="text2"/>
          <w:sz w:val="24"/>
          <w:szCs w:val="24"/>
        </w:rPr>
      </w:pPr>
    </w:p>
    <w:p w14:paraId="0F45A65B" w14:textId="77777777" w:rsidR="00FE599D" w:rsidRDefault="00464F61" w:rsidP="00AE5B3A">
      <w:pPr>
        <w:rPr>
          <w:rFonts w:ascii="Arial" w:hAnsi="Arial" w:cs="Arial"/>
          <w:b/>
          <w:sz w:val="24"/>
          <w:szCs w:val="24"/>
        </w:rPr>
      </w:pPr>
      <w:r>
        <w:rPr>
          <w:rFonts w:ascii="Arial" w:hAnsi="Arial" w:cs="Arial"/>
          <w:b/>
          <w:sz w:val="24"/>
          <w:szCs w:val="24"/>
        </w:rPr>
        <w:t>4</w:t>
      </w:r>
      <w:r w:rsidR="00F20224">
        <w:rPr>
          <w:rFonts w:ascii="Arial" w:hAnsi="Arial" w:cs="Arial"/>
          <w:b/>
          <w:sz w:val="24"/>
          <w:szCs w:val="24"/>
        </w:rPr>
        <w:t>. Procurement</w:t>
      </w:r>
    </w:p>
    <w:p w14:paraId="7F512C6F" w14:textId="48D4D01F" w:rsidR="009E6423" w:rsidRPr="00FE599D" w:rsidRDefault="009E6423" w:rsidP="00AE5B3A">
      <w:pPr>
        <w:rPr>
          <w:rFonts w:ascii="Arial" w:hAnsi="Arial" w:cs="Arial"/>
          <w:b/>
          <w:sz w:val="24"/>
          <w:szCs w:val="24"/>
        </w:rPr>
      </w:pPr>
      <w:r>
        <w:rPr>
          <w:rFonts w:ascii="Arial" w:hAnsi="Arial" w:cs="Arial"/>
          <w:sz w:val="24"/>
          <w:szCs w:val="24"/>
        </w:rPr>
        <w:t>RTA will ensure that it complies</w:t>
      </w:r>
      <w:r w:rsidR="006D5CD0" w:rsidRPr="006D5CD0">
        <w:rPr>
          <w:rFonts w:ascii="Arial" w:hAnsi="Arial" w:cs="Arial"/>
          <w:sz w:val="24"/>
          <w:szCs w:val="24"/>
        </w:rPr>
        <w:t xml:space="preserve"> with current and r</w:t>
      </w:r>
      <w:r w:rsidR="00AE5B3A">
        <w:rPr>
          <w:rFonts w:ascii="Arial" w:hAnsi="Arial" w:cs="Arial"/>
          <w:sz w:val="24"/>
          <w:szCs w:val="24"/>
        </w:rPr>
        <w:t>e</w:t>
      </w:r>
      <w:r w:rsidR="000237D5">
        <w:rPr>
          <w:rFonts w:ascii="Arial" w:hAnsi="Arial" w:cs="Arial"/>
          <w:sz w:val="24"/>
          <w:szCs w:val="24"/>
        </w:rPr>
        <w:t>levant procurement regulations.</w:t>
      </w:r>
    </w:p>
    <w:p w14:paraId="1B3EA7CA" w14:textId="4DB7B9F6" w:rsidR="00FE599D" w:rsidRPr="00FE599D" w:rsidRDefault="00464F61" w:rsidP="0039132F">
      <w:pPr>
        <w:shd w:val="clear" w:color="auto" w:fill="FFFFFF"/>
        <w:spacing w:after="120" w:line="240" w:lineRule="auto"/>
        <w:rPr>
          <w:rFonts w:ascii="Arial" w:hAnsi="Arial" w:cs="Arial"/>
          <w:b/>
          <w:sz w:val="24"/>
          <w:szCs w:val="24"/>
        </w:rPr>
      </w:pPr>
      <w:r>
        <w:rPr>
          <w:rFonts w:ascii="Arial" w:hAnsi="Arial" w:cs="Arial"/>
          <w:b/>
          <w:sz w:val="24"/>
          <w:szCs w:val="24"/>
        </w:rPr>
        <w:t>5</w:t>
      </w:r>
      <w:r w:rsidR="00F20224">
        <w:rPr>
          <w:rFonts w:ascii="Arial" w:hAnsi="Arial" w:cs="Arial"/>
          <w:b/>
          <w:sz w:val="24"/>
          <w:szCs w:val="24"/>
        </w:rPr>
        <w:t>. Due Diligence and Risk Assessment</w:t>
      </w:r>
      <w:r w:rsidR="00295FAC">
        <w:rPr>
          <w:rFonts w:ascii="Arial" w:hAnsi="Arial" w:cs="Arial"/>
          <w:b/>
          <w:sz w:val="24"/>
          <w:szCs w:val="24"/>
        </w:rPr>
        <w:t xml:space="preserve"> </w:t>
      </w:r>
    </w:p>
    <w:p w14:paraId="47CFFC25" w14:textId="09F0A686" w:rsidR="00210A28" w:rsidRDefault="00210A28" w:rsidP="00210A28">
      <w:pPr>
        <w:pStyle w:val="NoSpacing"/>
        <w:rPr>
          <w:rFonts w:ascii="Arial" w:hAnsi="Arial" w:cs="Arial"/>
          <w:sz w:val="24"/>
          <w:szCs w:val="24"/>
        </w:rPr>
      </w:pPr>
      <w:r w:rsidRPr="007A0968">
        <w:rPr>
          <w:rFonts w:ascii="Arial" w:hAnsi="Arial" w:cs="Arial"/>
          <w:sz w:val="24"/>
          <w:szCs w:val="24"/>
        </w:rPr>
        <w:t>RTA will require any potential s</w:t>
      </w:r>
      <w:r w:rsidR="00A34023">
        <w:rPr>
          <w:rFonts w:ascii="Arial" w:hAnsi="Arial" w:cs="Arial"/>
          <w:sz w:val="24"/>
          <w:szCs w:val="24"/>
        </w:rPr>
        <w:t>ubcontractor to undertake</w:t>
      </w:r>
      <w:r w:rsidRPr="007A0968">
        <w:rPr>
          <w:rFonts w:ascii="Arial" w:hAnsi="Arial" w:cs="Arial"/>
          <w:sz w:val="24"/>
          <w:szCs w:val="24"/>
        </w:rPr>
        <w:t xml:space="preserve"> due diligence. As part of the due diligence process, evidence of suitability for</w:t>
      </w:r>
      <w:r>
        <w:rPr>
          <w:rFonts w:ascii="Arial" w:hAnsi="Arial" w:cs="Arial"/>
          <w:sz w:val="24"/>
          <w:szCs w:val="24"/>
        </w:rPr>
        <w:t xml:space="preserve"> the following criteria will be required.</w:t>
      </w:r>
    </w:p>
    <w:p w14:paraId="4393083C" w14:textId="77777777" w:rsidR="00210A28" w:rsidRDefault="00210A28" w:rsidP="00210A28">
      <w:pPr>
        <w:pStyle w:val="NoSpacing"/>
        <w:rPr>
          <w:rFonts w:ascii="Arial" w:hAnsi="Arial" w:cs="Arial"/>
          <w:sz w:val="24"/>
          <w:szCs w:val="24"/>
        </w:rPr>
      </w:pPr>
    </w:p>
    <w:p w14:paraId="4BEAF96A" w14:textId="77777777" w:rsidR="00AE5B3A" w:rsidRPr="00FE599D" w:rsidRDefault="00AE5B3A" w:rsidP="00E64427">
      <w:pPr>
        <w:pStyle w:val="NoSpacing"/>
        <w:numPr>
          <w:ilvl w:val="0"/>
          <w:numId w:val="6"/>
        </w:numPr>
        <w:rPr>
          <w:rFonts w:ascii="Arial" w:hAnsi="Arial" w:cs="Arial"/>
          <w:sz w:val="24"/>
          <w:szCs w:val="24"/>
        </w:rPr>
      </w:pPr>
      <w:r w:rsidRPr="00FE599D">
        <w:rPr>
          <w:rFonts w:ascii="Arial" w:hAnsi="Arial" w:cs="Arial"/>
          <w:sz w:val="24"/>
          <w:szCs w:val="24"/>
        </w:rPr>
        <w:t>Financial</w:t>
      </w:r>
    </w:p>
    <w:p w14:paraId="182BEDD2" w14:textId="77777777" w:rsidR="00AE5B3A" w:rsidRPr="00FE599D" w:rsidRDefault="00AE5B3A" w:rsidP="00AE5B3A">
      <w:pPr>
        <w:pStyle w:val="NoSpacing"/>
        <w:ind w:left="720"/>
        <w:rPr>
          <w:rFonts w:ascii="Arial" w:hAnsi="Arial" w:cs="Arial"/>
          <w:sz w:val="24"/>
          <w:szCs w:val="24"/>
        </w:rPr>
      </w:pPr>
      <w:r w:rsidRPr="00FE599D">
        <w:rPr>
          <w:rFonts w:ascii="Arial" w:hAnsi="Arial" w:cs="Arial"/>
          <w:sz w:val="24"/>
          <w:szCs w:val="24"/>
        </w:rPr>
        <w:t>This will include:</w:t>
      </w:r>
    </w:p>
    <w:p w14:paraId="66EC7064" w14:textId="77777777" w:rsidR="000E0652" w:rsidRDefault="00295FAC" w:rsidP="00E64427">
      <w:pPr>
        <w:pStyle w:val="NoSpacing"/>
        <w:numPr>
          <w:ilvl w:val="0"/>
          <w:numId w:val="7"/>
        </w:numPr>
        <w:rPr>
          <w:rFonts w:ascii="Arial" w:hAnsi="Arial" w:cs="Arial"/>
          <w:sz w:val="24"/>
          <w:szCs w:val="24"/>
        </w:rPr>
      </w:pPr>
      <w:r w:rsidRPr="00FE599D">
        <w:rPr>
          <w:rFonts w:ascii="Arial" w:hAnsi="Arial" w:cs="Arial"/>
          <w:sz w:val="24"/>
          <w:szCs w:val="24"/>
        </w:rPr>
        <w:t>Refer</w:t>
      </w:r>
      <w:r w:rsidR="00AE5B3A" w:rsidRPr="00FE599D">
        <w:rPr>
          <w:rFonts w:ascii="Arial" w:hAnsi="Arial" w:cs="Arial"/>
          <w:sz w:val="24"/>
          <w:szCs w:val="24"/>
        </w:rPr>
        <w:t>ence</w:t>
      </w:r>
      <w:r w:rsidRPr="00FE599D">
        <w:rPr>
          <w:rFonts w:ascii="Arial" w:hAnsi="Arial" w:cs="Arial"/>
          <w:sz w:val="24"/>
          <w:szCs w:val="24"/>
        </w:rPr>
        <w:t xml:space="preserve"> to the List of Declared Subcontractors to determine if a </w:t>
      </w:r>
    </w:p>
    <w:p w14:paraId="44C8621A" w14:textId="17A08F03" w:rsidR="00AE5B3A" w:rsidRPr="00FE599D" w:rsidRDefault="00295FAC" w:rsidP="000E0652">
      <w:pPr>
        <w:pStyle w:val="NoSpacing"/>
        <w:ind w:left="1440"/>
        <w:rPr>
          <w:rFonts w:ascii="Arial" w:hAnsi="Arial" w:cs="Arial"/>
          <w:sz w:val="24"/>
          <w:szCs w:val="24"/>
        </w:rPr>
      </w:pPr>
      <w:r w:rsidRPr="00FE599D">
        <w:rPr>
          <w:rFonts w:ascii="Arial" w:hAnsi="Arial" w:cs="Arial"/>
          <w:sz w:val="24"/>
          <w:szCs w:val="24"/>
        </w:rPr>
        <w:t xml:space="preserve">subcontractor that we intend to use or are using already holds subcontracts with other organisations. </w:t>
      </w:r>
    </w:p>
    <w:p w14:paraId="6A137EAC" w14:textId="77777777" w:rsidR="00AE5B3A" w:rsidRPr="00FE599D" w:rsidRDefault="00AE5B3A" w:rsidP="00E64427">
      <w:pPr>
        <w:pStyle w:val="NoSpacing"/>
        <w:numPr>
          <w:ilvl w:val="0"/>
          <w:numId w:val="7"/>
        </w:numPr>
        <w:rPr>
          <w:rFonts w:ascii="Arial" w:hAnsi="Arial" w:cs="Arial"/>
          <w:sz w:val="24"/>
          <w:szCs w:val="24"/>
        </w:rPr>
      </w:pPr>
      <w:r w:rsidRPr="00FE599D">
        <w:rPr>
          <w:rFonts w:ascii="Arial" w:hAnsi="Arial" w:cs="Arial"/>
          <w:sz w:val="24"/>
          <w:szCs w:val="24"/>
        </w:rPr>
        <w:lastRenderedPageBreak/>
        <w:t>Ensuring</w:t>
      </w:r>
      <w:r w:rsidR="00210A28" w:rsidRPr="00FE599D">
        <w:rPr>
          <w:rFonts w:ascii="Arial" w:hAnsi="Arial" w:cs="Arial"/>
          <w:sz w:val="24"/>
          <w:szCs w:val="24"/>
        </w:rPr>
        <w:t xml:space="preserve"> any subcontractor has the financial ability to deliver the requirements of the subcontract. RTA will not contract with brand new companies who are yet to submit their first statutory accounts unless they are able to thoroughly verify the new company’s financial capability.</w:t>
      </w:r>
    </w:p>
    <w:p w14:paraId="162FFF19" w14:textId="104B4582" w:rsidR="00295FAC" w:rsidRPr="00FE599D" w:rsidRDefault="00295FAC" w:rsidP="00E64427">
      <w:pPr>
        <w:pStyle w:val="NoSpacing"/>
        <w:numPr>
          <w:ilvl w:val="0"/>
          <w:numId w:val="7"/>
        </w:numPr>
        <w:rPr>
          <w:rFonts w:ascii="Arial" w:hAnsi="Arial" w:cs="Arial"/>
          <w:sz w:val="24"/>
          <w:szCs w:val="24"/>
        </w:rPr>
      </w:pPr>
      <w:r w:rsidRPr="00FE599D">
        <w:rPr>
          <w:rFonts w:ascii="Arial" w:hAnsi="Arial" w:cs="Arial"/>
          <w:sz w:val="24"/>
          <w:szCs w:val="24"/>
        </w:rPr>
        <w:t>Consider</w:t>
      </w:r>
      <w:r w:rsidR="00AE5B3A" w:rsidRPr="00FE599D">
        <w:rPr>
          <w:rFonts w:ascii="Arial" w:hAnsi="Arial" w:cs="Arial"/>
          <w:sz w:val="24"/>
          <w:szCs w:val="24"/>
        </w:rPr>
        <w:t>ation of</w:t>
      </w:r>
      <w:r w:rsidRPr="00FE599D">
        <w:rPr>
          <w:rFonts w:ascii="Arial" w:hAnsi="Arial" w:cs="Arial"/>
          <w:sz w:val="24"/>
          <w:szCs w:val="24"/>
        </w:rPr>
        <w:t xml:space="preserve"> the subcontractors’ cr</w:t>
      </w:r>
      <w:r w:rsidR="008003A6" w:rsidRPr="00FE599D">
        <w:rPr>
          <w:rFonts w:ascii="Arial" w:hAnsi="Arial" w:cs="Arial"/>
          <w:sz w:val="24"/>
          <w:szCs w:val="24"/>
        </w:rPr>
        <w:t xml:space="preserve">edit rating. </w:t>
      </w:r>
      <w:r w:rsidRPr="00FE599D">
        <w:rPr>
          <w:rFonts w:ascii="Arial" w:hAnsi="Arial" w:cs="Arial"/>
          <w:sz w:val="24"/>
          <w:szCs w:val="24"/>
        </w:rPr>
        <w:t>RTA will assure itself that the subcontractor is available to deliver the needs to the contract and have the capacity to manage the risks.</w:t>
      </w:r>
    </w:p>
    <w:p w14:paraId="1D5681AE" w14:textId="1AB9BA51" w:rsidR="005A2671" w:rsidRPr="005A2671" w:rsidRDefault="005A2671" w:rsidP="00E64427">
      <w:pPr>
        <w:pStyle w:val="NoSpacing"/>
        <w:numPr>
          <w:ilvl w:val="0"/>
          <w:numId w:val="7"/>
        </w:numPr>
        <w:rPr>
          <w:rFonts w:ascii="Arial" w:hAnsi="Arial" w:cs="Arial"/>
          <w:sz w:val="24"/>
          <w:szCs w:val="24"/>
        </w:rPr>
      </w:pPr>
      <w:r w:rsidRPr="005A2671">
        <w:rPr>
          <w:rFonts w:ascii="Arial" w:hAnsi="Arial" w:cs="Arial"/>
          <w:sz w:val="24"/>
          <w:szCs w:val="24"/>
        </w:rPr>
        <w:t>References</w:t>
      </w:r>
    </w:p>
    <w:p w14:paraId="3C5629D0" w14:textId="77777777" w:rsidR="00AE5B3A" w:rsidRDefault="00AE5B3A" w:rsidP="00AE5B3A">
      <w:pPr>
        <w:pStyle w:val="NoSpacing"/>
        <w:rPr>
          <w:rFonts w:ascii="Arial" w:hAnsi="Arial" w:cs="Arial"/>
          <w:sz w:val="24"/>
          <w:szCs w:val="24"/>
        </w:rPr>
      </w:pPr>
    </w:p>
    <w:p w14:paraId="07B7D3F6" w14:textId="77777777" w:rsidR="00790EB2" w:rsidRDefault="00AE5B3A" w:rsidP="00E64427">
      <w:pPr>
        <w:pStyle w:val="NoSpacing"/>
        <w:numPr>
          <w:ilvl w:val="0"/>
          <w:numId w:val="6"/>
        </w:numPr>
        <w:rPr>
          <w:rFonts w:ascii="Arial" w:hAnsi="Arial" w:cs="Arial"/>
          <w:sz w:val="24"/>
          <w:szCs w:val="24"/>
        </w:rPr>
      </w:pPr>
      <w:r>
        <w:rPr>
          <w:rFonts w:ascii="Arial" w:hAnsi="Arial" w:cs="Arial"/>
          <w:sz w:val="24"/>
          <w:szCs w:val="24"/>
        </w:rPr>
        <w:t>Staffing</w:t>
      </w:r>
    </w:p>
    <w:p w14:paraId="240FD436" w14:textId="3785D14B" w:rsidR="00790EB2" w:rsidRDefault="00790EB2" w:rsidP="00790EB2">
      <w:pPr>
        <w:pStyle w:val="NoSpacing"/>
        <w:ind w:left="720"/>
        <w:rPr>
          <w:rFonts w:ascii="Arial" w:hAnsi="Arial" w:cs="Arial"/>
          <w:sz w:val="24"/>
          <w:szCs w:val="24"/>
        </w:rPr>
      </w:pPr>
      <w:r>
        <w:rPr>
          <w:rFonts w:ascii="Arial" w:hAnsi="Arial" w:cs="Arial"/>
          <w:sz w:val="24"/>
          <w:szCs w:val="24"/>
        </w:rPr>
        <w:t>This will include:</w:t>
      </w:r>
    </w:p>
    <w:p w14:paraId="0E4CE8A6" w14:textId="05DB0AE6" w:rsidR="00790EB2" w:rsidRDefault="00790EB2" w:rsidP="00E64427">
      <w:pPr>
        <w:pStyle w:val="NoSpacing"/>
        <w:numPr>
          <w:ilvl w:val="0"/>
          <w:numId w:val="8"/>
        </w:numPr>
        <w:rPr>
          <w:rFonts w:ascii="Arial" w:hAnsi="Arial" w:cs="Arial"/>
          <w:sz w:val="24"/>
          <w:szCs w:val="24"/>
        </w:rPr>
      </w:pPr>
      <w:r>
        <w:rPr>
          <w:rFonts w:ascii="Arial" w:hAnsi="Arial" w:cs="Arial"/>
          <w:sz w:val="24"/>
          <w:szCs w:val="24"/>
        </w:rPr>
        <w:t>Details of man</w:t>
      </w:r>
      <w:r w:rsidR="00FE599D">
        <w:rPr>
          <w:rFonts w:ascii="Arial" w:hAnsi="Arial" w:cs="Arial"/>
          <w:sz w:val="24"/>
          <w:szCs w:val="24"/>
        </w:rPr>
        <w:t>agement structure, processes,</w:t>
      </w:r>
      <w:r>
        <w:rPr>
          <w:rFonts w:ascii="Arial" w:hAnsi="Arial" w:cs="Arial"/>
          <w:sz w:val="24"/>
          <w:szCs w:val="24"/>
        </w:rPr>
        <w:t xml:space="preserve"> experience</w:t>
      </w:r>
      <w:r w:rsidR="00FE599D">
        <w:rPr>
          <w:rFonts w:ascii="Arial" w:hAnsi="Arial" w:cs="Arial"/>
          <w:sz w:val="24"/>
          <w:szCs w:val="24"/>
        </w:rPr>
        <w:t xml:space="preserve"> and capacity</w:t>
      </w:r>
    </w:p>
    <w:p w14:paraId="23B2B643" w14:textId="162B5B95" w:rsidR="00790EB2" w:rsidRDefault="00790EB2" w:rsidP="00E64427">
      <w:pPr>
        <w:pStyle w:val="NoSpacing"/>
        <w:numPr>
          <w:ilvl w:val="0"/>
          <w:numId w:val="8"/>
        </w:numPr>
        <w:rPr>
          <w:rFonts w:ascii="Arial" w:hAnsi="Arial" w:cs="Arial"/>
          <w:sz w:val="24"/>
          <w:szCs w:val="24"/>
        </w:rPr>
      </w:pPr>
      <w:r>
        <w:rPr>
          <w:rFonts w:ascii="Arial" w:hAnsi="Arial" w:cs="Arial"/>
          <w:sz w:val="24"/>
          <w:szCs w:val="24"/>
        </w:rPr>
        <w:t>Qualifications and experience</w:t>
      </w:r>
    </w:p>
    <w:p w14:paraId="21A3AAC6" w14:textId="1EDB44A0" w:rsidR="00790EB2" w:rsidRDefault="00790EB2" w:rsidP="00E64427">
      <w:pPr>
        <w:pStyle w:val="NoSpacing"/>
        <w:numPr>
          <w:ilvl w:val="0"/>
          <w:numId w:val="8"/>
        </w:numPr>
        <w:rPr>
          <w:rFonts w:ascii="Arial" w:hAnsi="Arial" w:cs="Arial"/>
          <w:sz w:val="24"/>
          <w:szCs w:val="24"/>
        </w:rPr>
      </w:pPr>
      <w:r>
        <w:rPr>
          <w:rFonts w:ascii="Arial" w:hAnsi="Arial" w:cs="Arial"/>
          <w:sz w:val="24"/>
          <w:szCs w:val="24"/>
        </w:rPr>
        <w:t>DBS clearance</w:t>
      </w:r>
    </w:p>
    <w:p w14:paraId="0854460B" w14:textId="77777777" w:rsidR="00790EB2" w:rsidRDefault="00790EB2" w:rsidP="00790EB2">
      <w:pPr>
        <w:pStyle w:val="NoSpacing"/>
        <w:ind w:left="360"/>
        <w:rPr>
          <w:rFonts w:ascii="Arial" w:hAnsi="Arial" w:cs="Arial"/>
          <w:sz w:val="24"/>
          <w:szCs w:val="24"/>
        </w:rPr>
      </w:pPr>
    </w:p>
    <w:p w14:paraId="16BB0145" w14:textId="6EC98DEE" w:rsidR="00210A28" w:rsidRDefault="00790EB2" w:rsidP="00E64427">
      <w:pPr>
        <w:pStyle w:val="NoSpacing"/>
        <w:numPr>
          <w:ilvl w:val="0"/>
          <w:numId w:val="6"/>
        </w:numPr>
        <w:rPr>
          <w:rFonts w:ascii="Arial" w:hAnsi="Arial" w:cs="Arial"/>
          <w:sz w:val="24"/>
          <w:szCs w:val="24"/>
        </w:rPr>
      </w:pPr>
      <w:r>
        <w:rPr>
          <w:rFonts w:ascii="Arial" w:hAnsi="Arial" w:cs="Arial"/>
          <w:sz w:val="24"/>
          <w:szCs w:val="24"/>
        </w:rPr>
        <w:t>F</w:t>
      </w:r>
      <w:r w:rsidR="00210A28" w:rsidRPr="00790EB2">
        <w:rPr>
          <w:rFonts w:ascii="Arial" w:hAnsi="Arial" w:cs="Arial"/>
          <w:sz w:val="24"/>
          <w:szCs w:val="24"/>
        </w:rPr>
        <w:t>acilities</w:t>
      </w:r>
    </w:p>
    <w:p w14:paraId="4F5B5A08" w14:textId="306BCDE3" w:rsidR="00790EB2" w:rsidRDefault="00790EB2" w:rsidP="00790EB2">
      <w:pPr>
        <w:pStyle w:val="NoSpacing"/>
        <w:ind w:left="720"/>
        <w:rPr>
          <w:rFonts w:ascii="Arial" w:hAnsi="Arial" w:cs="Arial"/>
          <w:sz w:val="24"/>
          <w:szCs w:val="24"/>
        </w:rPr>
      </w:pPr>
      <w:r>
        <w:rPr>
          <w:rFonts w:ascii="Arial" w:hAnsi="Arial" w:cs="Arial"/>
          <w:sz w:val="24"/>
          <w:szCs w:val="24"/>
        </w:rPr>
        <w:t>This will include:</w:t>
      </w:r>
    </w:p>
    <w:p w14:paraId="4556DD12" w14:textId="5BCE0A94" w:rsidR="00790EB2" w:rsidRPr="00790EB2" w:rsidRDefault="00790EB2" w:rsidP="00E64427">
      <w:pPr>
        <w:pStyle w:val="NoSpacing"/>
        <w:numPr>
          <w:ilvl w:val="0"/>
          <w:numId w:val="9"/>
        </w:numPr>
        <w:rPr>
          <w:rFonts w:ascii="Arial" w:hAnsi="Arial" w:cs="Arial"/>
          <w:sz w:val="24"/>
          <w:szCs w:val="24"/>
        </w:rPr>
      </w:pPr>
      <w:r>
        <w:rPr>
          <w:rFonts w:ascii="Arial" w:hAnsi="Arial" w:cs="Arial"/>
          <w:sz w:val="24"/>
          <w:szCs w:val="24"/>
        </w:rPr>
        <w:t>Inspection of the facilities to ensure they are fit for purpose</w:t>
      </w:r>
    </w:p>
    <w:p w14:paraId="541E47BC" w14:textId="77777777" w:rsidR="00210A28" w:rsidRPr="00210A28" w:rsidRDefault="00210A28" w:rsidP="00210A28">
      <w:pPr>
        <w:pStyle w:val="NoSpacing"/>
        <w:rPr>
          <w:rFonts w:ascii="Arial" w:hAnsi="Arial" w:cs="Arial"/>
          <w:sz w:val="24"/>
          <w:szCs w:val="24"/>
        </w:rPr>
      </w:pPr>
    </w:p>
    <w:p w14:paraId="491C7A06" w14:textId="644C064C" w:rsidR="00210A28" w:rsidRDefault="00210A28" w:rsidP="00E64427">
      <w:pPr>
        <w:pStyle w:val="NoSpacing"/>
        <w:numPr>
          <w:ilvl w:val="0"/>
          <w:numId w:val="6"/>
        </w:numPr>
        <w:rPr>
          <w:rFonts w:ascii="Arial" w:hAnsi="Arial" w:cs="Arial"/>
          <w:sz w:val="24"/>
          <w:szCs w:val="24"/>
        </w:rPr>
      </w:pPr>
      <w:r w:rsidRPr="007A0968">
        <w:rPr>
          <w:rFonts w:ascii="Arial" w:hAnsi="Arial" w:cs="Arial"/>
          <w:sz w:val="24"/>
          <w:szCs w:val="24"/>
        </w:rPr>
        <w:t>Health and Safety</w:t>
      </w:r>
    </w:p>
    <w:p w14:paraId="0102110F" w14:textId="24863D80" w:rsidR="00790EB2" w:rsidRDefault="00790EB2" w:rsidP="00790EB2">
      <w:pPr>
        <w:pStyle w:val="NoSpacing"/>
        <w:ind w:left="720"/>
        <w:rPr>
          <w:rFonts w:ascii="Arial" w:hAnsi="Arial" w:cs="Arial"/>
          <w:sz w:val="24"/>
          <w:szCs w:val="24"/>
        </w:rPr>
      </w:pPr>
      <w:r>
        <w:rPr>
          <w:rFonts w:ascii="Arial" w:hAnsi="Arial" w:cs="Arial"/>
          <w:sz w:val="24"/>
          <w:szCs w:val="24"/>
        </w:rPr>
        <w:t>This will include:</w:t>
      </w:r>
    </w:p>
    <w:p w14:paraId="47550AA5" w14:textId="492804FC" w:rsidR="00790EB2" w:rsidRDefault="00790EB2" w:rsidP="00E64427">
      <w:pPr>
        <w:pStyle w:val="NoSpacing"/>
        <w:numPr>
          <w:ilvl w:val="0"/>
          <w:numId w:val="9"/>
        </w:numPr>
        <w:rPr>
          <w:rFonts w:ascii="Arial" w:hAnsi="Arial" w:cs="Arial"/>
          <w:sz w:val="24"/>
          <w:szCs w:val="24"/>
        </w:rPr>
      </w:pPr>
      <w:r>
        <w:rPr>
          <w:rFonts w:ascii="Arial" w:hAnsi="Arial" w:cs="Arial"/>
          <w:sz w:val="24"/>
          <w:szCs w:val="24"/>
        </w:rPr>
        <w:t>Health and safety policies and processes</w:t>
      </w:r>
    </w:p>
    <w:p w14:paraId="567216A9" w14:textId="65B7E1A8" w:rsidR="00790EB2" w:rsidRDefault="00790EB2" w:rsidP="00E64427">
      <w:pPr>
        <w:pStyle w:val="NoSpacing"/>
        <w:numPr>
          <w:ilvl w:val="0"/>
          <w:numId w:val="9"/>
        </w:numPr>
        <w:rPr>
          <w:rFonts w:ascii="Arial" w:hAnsi="Arial" w:cs="Arial"/>
          <w:sz w:val="24"/>
          <w:szCs w:val="24"/>
        </w:rPr>
      </w:pPr>
      <w:r>
        <w:rPr>
          <w:rFonts w:ascii="Arial" w:hAnsi="Arial" w:cs="Arial"/>
          <w:sz w:val="24"/>
          <w:szCs w:val="24"/>
        </w:rPr>
        <w:t xml:space="preserve">Name of appointed health and safety lead </w:t>
      </w:r>
    </w:p>
    <w:p w14:paraId="2A504D72" w14:textId="1EFC7E88" w:rsidR="00790EB2" w:rsidRDefault="00790EB2" w:rsidP="00E64427">
      <w:pPr>
        <w:pStyle w:val="NoSpacing"/>
        <w:numPr>
          <w:ilvl w:val="0"/>
          <w:numId w:val="9"/>
        </w:numPr>
        <w:rPr>
          <w:rFonts w:ascii="Arial" w:hAnsi="Arial" w:cs="Arial"/>
          <w:sz w:val="24"/>
          <w:szCs w:val="24"/>
        </w:rPr>
      </w:pPr>
      <w:r>
        <w:rPr>
          <w:rFonts w:ascii="Arial" w:hAnsi="Arial" w:cs="Arial"/>
          <w:sz w:val="24"/>
          <w:szCs w:val="24"/>
        </w:rPr>
        <w:t>Name of appointed first aider</w:t>
      </w:r>
    </w:p>
    <w:p w14:paraId="5A58E2AA" w14:textId="23410A4B" w:rsidR="00790EB2" w:rsidRDefault="00790EB2" w:rsidP="00E64427">
      <w:pPr>
        <w:pStyle w:val="NoSpacing"/>
        <w:numPr>
          <w:ilvl w:val="0"/>
          <w:numId w:val="9"/>
        </w:numPr>
        <w:rPr>
          <w:rFonts w:ascii="Arial" w:hAnsi="Arial" w:cs="Arial"/>
          <w:sz w:val="24"/>
          <w:szCs w:val="24"/>
        </w:rPr>
      </w:pPr>
      <w:r>
        <w:rPr>
          <w:rFonts w:ascii="Arial" w:hAnsi="Arial" w:cs="Arial"/>
          <w:sz w:val="24"/>
          <w:szCs w:val="24"/>
        </w:rPr>
        <w:t>Risk assessments and details of corresponding risk management</w:t>
      </w:r>
    </w:p>
    <w:p w14:paraId="539A6DC5" w14:textId="77777777" w:rsidR="00210A28" w:rsidRPr="00210A28" w:rsidRDefault="00210A28" w:rsidP="00210A28">
      <w:pPr>
        <w:pStyle w:val="NoSpacing"/>
        <w:rPr>
          <w:rFonts w:ascii="Arial" w:hAnsi="Arial" w:cs="Arial"/>
          <w:sz w:val="24"/>
          <w:szCs w:val="24"/>
        </w:rPr>
      </w:pPr>
    </w:p>
    <w:p w14:paraId="0DD246B7" w14:textId="4164A7D0" w:rsidR="00210A28" w:rsidRDefault="00210A28" w:rsidP="00E64427">
      <w:pPr>
        <w:pStyle w:val="NoSpacing"/>
        <w:numPr>
          <w:ilvl w:val="0"/>
          <w:numId w:val="6"/>
        </w:numPr>
        <w:rPr>
          <w:rFonts w:ascii="Arial" w:hAnsi="Arial" w:cs="Arial"/>
          <w:sz w:val="24"/>
          <w:szCs w:val="24"/>
        </w:rPr>
      </w:pPr>
      <w:r w:rsidRPr="00210A28">
        <w:rPr>
          <w:rFonts w:ascii="Arial" w:hAnsi="Arial" w:cs="Arial"/>
          <w:sz w:val="24"/>
          <w:szCs w:val="24"/>
        </w:rPr>
        <w:t>Safeguarding</w:t>
      </w:r>
    </w:p>
    <w:p w14:paraId="1BA085AD" w14:textId="7834EF72" w:rsidR="005A2671" w:rsidRDefault="005A2671" w:rsidP="005A2671">
      <w:pPr>
        <w:pStyle w:val="NoSpacing"/>
        <w:ind w:left="720"/>
        <w:rPr>
          <w:rFonts w:ascii="Arial" w:hAnsi="Arial" w:cs="Arial"/>
          <w:sz w:val="24"/>
          <w:szCs w:val="24"/>
        </w:rPr>
      </w:pPr>
      <w:r>
        <w:rPr>
          <w:rFonts w:ascii="Arial" w:hAnsi="Arial" w:cs="Arial"/>
          <w:sz w:val="24"/>
          <w:szCs w:val="24"/>
        </w:rPr>
        <w:t>This will include:</w:t>
      </w:r>
    </w:p>
    <w:p w14:paraId="0A78A7F6" w14:textId="0BDA2988" w:rsidR="00790EB2" w:rsidRDefault="00C86303" w:rsidP="00E64427">
      <w:pPr>
        <w:pStyle w:val="NoSpacing"/>
        <w:numPr>
          <w:ilvl w:val="0"/>
          <w:numId w:val="10"/>
        </w:numPr>
        <w:rPr>
          <w:rFonts w:ascii="Arial" w:hAnsi="Arial" w:cs="Arial"/>
          <w:sz w:val="24"/>
          <w:szCs w:val="24"/>
        </w:rPr>
      </w:pPr>
      <w:r>
        <w:rPr>
          <w:rFonts w:ascii="Arial" w:hAnsi="Arial" w:cs="Arial"/>
          <w:sz w:val="24"/>
          <w:szCs w:val="24"/>
        </w:rPr>
        <w:t>S</w:t>
      </w:r>
      <w:r w:rsidR="00A34023">
        <w:rPr>
          <w:rFonts w:ascii="Arial" w:hAnsi="Arial" w:cs="Arial"/>
          <w:sz w:val="24"/>
          <w:szCs w:val="24"/>
        </w:rPr>
        <w:t>afeguarding policy</w:t>
      </w:r>
      <w:r w:rsidR="00790EB2">
        <w:rPr>
          <w:rFonts w:ascii="Arial" w:hAnsi="Arial" w:cs="Arial"/>
          <w:sz w:val="24"/>
          <w:szCs w:val="24"/>
        </w:rPr>
        <w:t xml:space="preserve"> and processes</w:t>
      </w:r>
    </w:p>
    <w:p w14:paraId="4B780EDD" w14:textId="57DF0090" w:rsidR="00C86303" w:rsidRDefault="00C86303" w:rsidP="00E64427">
      <w:pPr>
        <w:pStyle w:val="NoSpacing"/>
        <w:numPr>
          <w:ilvl w:val="0"/>
          <w:numId w:val="10"/>
        </w:numPr>
        <w:rPr>
          <w:rFonts w:ascii="Arial" w:hAnsi="Arial" w:cs="Arial"/>
          <w:sz w:val="24"/>
          <w:szCs w:val="24"/>
        </w:rPr>
      </w:pPr>
      <w:r>
        <w:rPr>
          <w:rFonts w:ascii="Arial" w:hAnsi="Arial" w:cs="Arial"/>
          <w:sz w:val="24"/>
          <w:szCs w:val="24"/>
        </w:rPr>
        <w:t>Prevent policy and processes</w:t>
      </w:r>
    </w:p>
    <w:p w14:paraId="1F540FD1" w14:textId="406379AD" w:rsidR="00790EB2" w:rsidRDefault="005A2671" w:rsidP="00E64427">
      <w:pPr>
        <w:pStyle w:val="NoSpacing"/>
        <w:numPr>
          <w:ilvl w:val="0"/>
          <w:numId w:val="10"/>
        </w:numPr>
        <w:rPr>
          <w:rFonts w:ascii="Arial" w:hAnsi="Arial" w:cs="Arial"/>
          <w:sz w:val="24"/>
          <w:szCs w:val="24"/>
        </w:rPr>
      </w:pPr>
      <w:r>
        <w:rPr>
          <w:rFonts w:ascii="Arial" w:hAnsi="Arial" w:cs="Arial"/>
          <w:sz w:val="24"/>
          <w:szCs w:val="24"/>
        </w:rPr>
        <w:t>Name of the s</w:t>
      </w:r>
      <w:r w:rsidR="00790EB2">
        <w:rPr>
          <w:rFonts w:ascii="Arial" w:hAnsi="Arial" w:cs="Arial"/>
          <w:sz w:val="24"/>
          <w:szCs w:val="24"/>
        </w:rPr>
        <w:t>afeguarding lead</w:t>
      </w:r>
    </w:p>
    <w:p w14:paraId="20C0D5F3" w14:textId="6EEF764F" w:rsidR="00210A28" w:rsidRPr="007A0968" w:rsidRDefault="00210A28" w:rsidP="00210A28">
      <w:pPr>
        <w:pStyle w:val="NoSpacing"/>
        <w:rPr>
          <w:rFonts w:ascii="Arial" w:hAnsi="Arial" w:cs="Arial"/>
          <w:sz w:val="24"/>
          <w:szCs w:val="24"/>
        </w:rPr>
      </w:pPr>
    </w:p>
    <w:p w14:paraId="08F0A3A1" w14:textId="402E43D9" w:rsidR="00D46D8F" w:rsidRDefault="00D46D8F" w:rsidP="00E64427">
      <w:pPr>
        <w:pStyle w:val="NoSpacing"/>
        <w:numPr>
          <w:ilvl w:val="0"/>
          <w:numId w:val="6"/>
        </w:numPr>
        <w:rPr>
          <w:rFonts w:ascii="Arial" w:hAnsi="Arial" w:cs="Arial"/>
          <w:sz w:val="24"/>
          <w:szCs w:val="24"/>
        </w:rPr>
      </w:pPr>
      <w:r>
        <w:rPr>
          <w:rFonts w:ascii="Arial" w:hAnsi="Arial" w:cs="Arial"/>
          <w:sz w:val="24"/>
          <w:szCs w:val="24"/>
        </w:rPr>
        <w:t>Equal Opportunities</w:t>
      </w:r>
    </w:p>
    <w:p w14:paraId="37512CBE" w14:textId="3FDDD377" w:rsidR="00D46D8F" w:rsidRDefault="00D46D8F" w:rsidP="00D46D8F">
      <w:pPr>
        <w:pStyle w:val="NoSpacing"/>
        <w:ind w:left="720"/>
        <w:rPr>
          <w:rFonts w:ascii="Arial" w:hAnsi="Arial" w:cs="Arial"/>
          <w:sz w:val="24"/>
          <w:szCs w:val="24"/>
        </w:rPr>
      </w:pPr>
      <w:r>
        <w:rPr>
          <w:rFonts w:ascii="Arial" w:hAnsi="Arial" w:cs="Arial"/>
          <w:sz w:val="24"/>
          <w:szCs w:val="24"/>
        </w:rPr>
        <w:t>This will include:</w:t>
      </w:r>
    </w:p>
    <w:p w14:paraId="49EDB8F8" w14:textId="20AAE938" w:rsidR="00D46D8F" w:rsidRDefault="00D46D8F" w:rsidP="00E64427">
      <w:pPr>
        <w:pStyle w:val="NoSpacing"/>
        <w:numPr>
          <w:ilvl w:val="0"/>
          <w:numId w:val="20"/>
        </w:numPr>
        <w:rPr>
          <w:rFonts w:ascii="Arial" w:hAnsi="Arial" w:cs="Arial"/>
          <w:sz w:val="24"/>
          <w:szCs w:val="24"/>
        </w:rPr>
      </w:pPr>
      <w:r>
        <w:rPr>
          <w:rFonts w:ascii="Arial" w:hAnsi="Arial" w:cs="Arial"/>
          <w:sz w:val="24"/>
          <w:szCs w:val="24"/>
        </w:rPr>
        <w:t>Equal opportunities policy</w:t>
      </w:r>
    </w:p>
    <w:p w14:paraId="7FABBF42" w14:textId="7AD54AC6" w:rsidR="00D46D8F" w:rsidRDefault="00D46D8F" w:rsidP="00E64427">
      <w:pPr>
        <w:pStyle w:val="NoSpacing"/>
        <w:numPr>
          <w:ilvl w:val="0"/>
          <w:numId w:val="20"/>
        </w:numPr>
        <w:rPr>
          <w:rFonts w:ascii="Arial" w:hAnsi="Arial" w:cs="Arial"/>
          <w:sz w:val="24"/>
          <w:szCs w:val="24"/>
        </w:rPr>
      </w:pPr>
      <w:r>
        <w:rPr>
          <w:rFonts w:ascii="Arial" w:hAnsi="Arial" w:cs="Arial"/>
          <w:sz w:val="24"/>
          <w:szCs w:val="24"/>
        </w:rPr>
        <w:t>Complaints policy</w:t>
      </w:r>
    </w:p>
    <w:p w14:paraId="21928CFE" w14:textId="651858DF" w:rsidR="00D46D8F" w:rsidRDefault="00D46D8F" w:rsidP="00E64427">
      <w:pPr>
        <w:pStyle w:val="NoSpacing"/>
        <w:numPr>
          <w:ilvl w:val="0"/>
          <w:numId w:val="20"/>
        </w:numPr>
        <w:rPr>
          <w:rFonts w:ascii="Arial" w:hAnsi="Arial" w:cs="Arial"/>
          <w:sz w:val="24"/>
          <w:szCs w:val="24"/>
        </w:rPr>
      </w:pPr>
      <w:r>
        <w:rPr>
          <w:rFonts w:ascii="Arial" w:hAnsi="Arial" w:cs="Arial"/>
          <w:sz w:val="24"/>
          <w:szCs w:val="24"/>
        </w:rPr>
        <w:t>Equal opportunities monitoring in place</w:t>
      </w:r>
    </w:p>
    <w:p w14:paraId="0726585B" w14:textId="77777777" w:rsidR="00D46D8F" w:rsidRDefault="00D46D8F" w:rsidP="00D46D8F">
      <w:pPr>
        <w:pStyle w:val="NoSpacing"/>
        <w:ind w:left="1440"/>
        <w:rPr>
          <w:rFonts w:ascii="Arial" w:hAnsi="Arial" w:cs="Arial"/>
          <w:sz w:val="24"/>
          <w:szCs w:val="24"/>
        </w:rPr>
      </w:pPr>
    </w:p>
    <w:p w14:paraId="53B3EB89" w14:textId="12C1FE9B" w:rsidR="00D46D8F" w:rsidRDefault="00D46D8F" w:rsidP="00E64427">
      <w:pPr>
        <w:pStyle w:val="NoSpacing"/>
        <w:numPr>
          <w:ilvl w:val="0"/>
          <w:numId w:val="6"/>
        </w:numPr>
        <w:rPr>
          <w:rFonts w:ascii="Arial" w:hAnsi="Arial" w:cs="Arial"/>
          <w:sz w:val="24"/>
          <w:szCs w:val="24"/>
        </w:rPr>
      </w:pPr>
      <w:r>
        <w:rPr>
          <w:rFonts w:ascii="Arial" w:hAnsi="Arial" w:cs="Arial"/>
          <w:sz w:val="24"/>
          <w:szCs w:val="24"/>
        </w:rPr>
        <w:t>Data Protection</w:t>
      </w:r>
    </w:p>
    <w:p w14:paraId="4EB757F6" w14:textId="6FE9C802" w:rsidR="00D46D8F" w:rsidRDefault="00D46D8F" w:rsidP="00D46D8F">
      <w:pPr>
        <w:pStyle w:val="NoSpacing"/>
        <w:ind w:left="720"/>
        <w:rPr>
          <w:rFonts w:ascii="Arial" w:hAnsi="Arial" w:cs="Arial"/>
          <w:sz w:val="24"/>
          <w:szCs w:val="24"/>
        </w:rPr>
      </w:pPr>
      <w:r>
        <w:rPr>
          <w:rFonts w:ascii="Arial" w:hAnsi="Arial" w:cs="Arial"/>
          <w:sz w:val="24"/>
          <w:szCs w:val="24"/>
        </w:rPr>
        <w:t>This will include:</w:t>
      </w:r>
    </w:p>
    <w:p w14:paraId="6AB6550D" w14:textId="30C48EEC" w:rsidR="00D46D8F" w:rsidRDefault="00D46D8F" w:rsidP="00E64427">
      <w:pPr>
        <w:pStyle w:val="NoSpacing"/>
        <w:numPr>
          <w:ilvl w:val="0"/>
          <w:numId w:val="19"/>
        </w:numPr>
        <w:rPr>
          <w:rFonts w:ascii="Arial" w:hAnsi="Arial" w:cs="Arial"/>
          <w:sz w:val="24"/>
          <w:szCs w:val="24"/>
        </w:rPr>
      </w:pPr>
      <w:r>
        <w:rPr>
          <w:rFonts w:ascii="Arial" w:hAnsi="Arial" w:cs="Arial"/>
          <w:sz w:val="24"/>
          <w:szCs w:val="24"/>
        </w:rPr>
        <w:t>Data protection policy</w:t>
      </w:r>
    </w:p>
    <w:p w14:paraId="629C5F88" w14:textId="23AEEE17" w:rsidR="00D46D8F" w:rsidRDefault="00D46D8F" w:rsidP="00E64427">
      <w:pPr>
        <w:pStyle w:val="NoSpacing"/>
        <w:numPr>
          <w:ilvl w:val="0"/>
          <w:numId w:val="19"/>
        </w:numPr>
        <w:rPr>
          <w:rFonts w:ascii="Arial" w:hAnsi="Arial" w:cs="Arial"/>
          <w:sz w:val="24"/>
          <w:szCs w:val="24"/>
        </w:rPr>
      </w:pPr>
      <w:r>
        <w:rPr>
          <w:rFonts w:ascii="Arial" w:hAnsi="Arial" w:cs="Arial"/>
          <w:sz w:val="24"/>
          <w:szCs w:val="24"/>
        </w:rPr>
        <w:t>Processes in place to ensure compliance to current legislation and guidance / good practice</w:t>
      </w:r>
    </w:p>
    <w:p w14:paraId="6A996372" w14:textId="77777777" w:rsidR="00CD5476" w:rsidRPr="007A0968" w:rsidRDefault="00CD5476" w:rsidP="00210A28">
      <w:pPr>
        <w:pStyle w:val="NoSpacing"/>
        <w:rPr>
          <w:rFonts w:ascii="Arial" w:hAnsi="Arial" w:cs="Arial"/>
          <w:sz w:val="24"/>
          <w:szCs w:val="24"/>
        </w:rPr>
      </w:pPr>
    </w:p>
    <w:p w14:paraId="63A27B40" w14:textId="77777777" w:rsidR="00D46D8F" w:rsidRDefault="00D46D8F" w:rsidP="00E64427">
      <w:pPr>
        <w:pStyle w:val="NoSpacing"/>
        <w:numPr>
          <w:ilvl w:val="0"/>
          <w:numId w:val="6"/>
        </w:numPr>
        <w:rPr>
          <w:rFonts w:ascii="Arial" w:hAnsi="Arial" w:cs="Arial"/>
          <w:sz w:val="24"/>
          <w:szCs w:val="24"/>
        </w:rPr>
      </w:pPr>
      <w:r>
        <w:rPr>
          <w:rFonts w:ascii="Arial" w:hAnsi="Arial" w:cs="Arial"/>
          <w:sz w:val="24"/>
          <w:szCs w:val="24"/>
        </w:rPr>
        <w:t>Curriculum</w:t>
      </w:r>
    </w:p>
    <w:p w14:paraId="3B75E2FE" w14:textId="61781569" w:rsidR="00D46D8F" w:rsidRDefault="00D46D8F" w:rsidP="00D46D8F">
      <w:pPr>
        <w:pStyle w:val="NoSpacing"/>
        <w:ind w:left="720"/>
        <w:rPr>
          <w:rFonts w:ascii="Arial" w:hAnsi="Arial" w:cs="Arial"/>
          <w:sz w:val="24"/>
          <w:szCs w:val="24"/>
        </w:rPr>
      </w:pPr>
      <w:r>
        <w:rPr>
          <w:rFonts w:ascii="Arial" w:hAnsi="Arial" w:cs="Arial"/>
          <w:sz w:val="24"/>
          <w:szCs w:val="24"/>
        </w:rPr>
        <w:t>This will include:</w:t>
      </w:r>
    </w:p>
    <w:p w14:paraId="276ED57E" w14:textId="77777777" w:rsidR="00D46D8F" w:rsidRDefault="00D46D8F" w:rsidP="00E64427">
      <w:pPr>
        <w:pStyle w:val="NoSpacing"/>
        <w:numPr>
          <w:ilvl w:val="0"/>
          <w:numId w:val="12"/>
        </w:numPr>
        <w:rPr>
          <w:rFonts w:ascii="Arial" w:hAnsi="Arial" w:cs="Arial"/>
          <w:sz w:val="24"/>
          <w:szCs w:val="24"/>
        </w:rPr>
      </w:pPr>
      <w:r>
        <w:rPr>
          <w:rFonts w:ascii="Arial" w:hAnsi="Arial" w:cs="Arial"/>
          <w:sz w:val="24"/>
          <w:szCs w:val="24"/>
        </w:rPr>
        <w:t>Schemes of work</w:t>
      </w:r>
    </w:p>
    <w:p w14:paraId="62010994" w14:textId="1B892377" w:rsidR="00D46D8F" w:rsidRDefault="00D46D8F" w:rsidP="00E64427">
      <w:pPr>
        <w:pStyle w:val="NoSpacing"/>
        <w:numPr>
          <w:ilvl w:val="0"/>
          <w:numId w:val="12"/>
        </w:numPr>
        <w:rPr>
          <w:rFonts w:ascii="Arial" w:hAnsi="Arial" w:cs="Arial"/>
          <w:sz w:val="24"/>
          <w:szCs w:val="24"/>
        </w:rPr>
      </w:pPr>
      <w:r>
        <w:rPr>
          <w:rFonts w:ascii="Arial" w:hAnsi="Arial" w:cs="Arial"/>
          <w:sz w:val="24"/>
          <w:szCs w:val="24"/>
        </w:rPr>
        <w:lastRenderedPageBreak/>
        <w:t xml:space="preserve">Policies and procedures regarding areas such as assessment / accreditation of prior learning, </w:t>
      </w:r>
      <w:r w:rsidR="00C86303">
        <w:rPr>
          <w:rFonts w:ascii="Arial" w:hAnsi="Arial" w:cs="Arial"/>
          <w:sz w:val="24"/>
          <w:szCs w:val="24"/>
        </w:rPr>
        <w:t>appeals, examinations policy</w:t>
      </w:r>
    </w:p>
    <w:p w14:paraId="34920935" w14:textId="77777777" w:rsidR="00D46D8F" w:rsidRDefault="00D46D8F" w:rsidP="00D46D8F">
      <w:pPr>
        <w:pStyle w:val="NoSpacing"/>
        <w:ind w:left="720"/>
        <w:rPr>
          <w:rFonts w:ascii="Arial" w:hAnsi="Arial" w:cs="Arial"/>
          <w:sz w:val="24"/>
          <w:szCs w:val="24"/>
        </w:rPr>
      </w:pPr>
    </w:p>
    <w:p w14:paraId="71C58B45" w14:textId="6B5F20B0" w:rsidR="005A2671" w:rsidRDefault="005A2671" w:rsidP="00E64427">
      <w:pPr>
        <w:pStyle w:val="NoSpacing"/>
        <w:numPr>
          <w:ilvl w:val="0"/>
          <w:numId w:val="6"/>
        </w:numPr>
        <w:rPr>
          <w:rFonts w:ascii="Arial" w:hAnsi="Arial" w:cs="Arial"/>
          <w:sz w:val="24"/>
          <w:szCs w:val="24"/>
        </w:rPr>
      </w:pPr>
      <w:r>
        <w:rPr>
          <w:rFonts w:ascii="Arial" w:hAnsi="Arial" w:cs="Arial"/>
          <w:sz w:val="24"/>
          <w:szCs w:val="24"/>
        </w:rPr>
        <w:t>Quality of Provision</w:t>
      </w:r>
    </w:p>
    <w:p w14:paraId="49B0ACC3" w14:textId="77777777" w:rsidR="005A2671" w:rsidRDefault="005A2671" w:rsidP="005A2671">
      <w:pPr>
        <w:pStyle w:val="NoSpacing"/>
        <w:ind w:left="720"/>
        <w:rPr>
          <w:rFonts w:ascii="Arial" w:hAnsi="Arial" w:cs="Arial"/>
          <w:sz w:val="24"/>
          <w:szCs w:val="24"/>
        </w:rPr>
      </w:pPr>
      <w:r>
        <w:rPr>
          <w:rFonts w:ascii="Arial" w:hAnsi="Arial" w:cs="Arial"/>
          <w:sz w:val="24"/>
          <w:szCs w:val="24"/>
        </w:rPr>
        <w:t>This will include:</w:t>
      </w:r>
    </w:p>
    <w:p w14:paraId="56B3200A" w14:textId="06D84F09" w:rsidR="005A2671" w:rsidRDefault="005A2671" w:rsidP="00E64427">
      <w:pPr>
        <w:pStyle w:val="NoSpacing"/>
        <w:numPr>
          <w:ilvl w:val="0"/>
          <w:numId w:val="12"/>
        </w:numPr>
        <w:rPr>
          <w:rFonts w:ascii="Arial" w:hAnsi="Arial" w:cs="Arial"/>
          <w:sz w:val="24"/>
          <w:szCs w:val="24"/>
        </w:rPr>
      </w:pPr>
      <w:r>
        <w:rPr>
          <w:rFonts w:ascii="Arial" w:hAnsi="Arial" w:cs="Arial"/>
          <w:sz w:val="24"/>
          <w:szCs w:val="24"/>
        </w:rPr>
        <w:t>QAI policies and procedures</w:t>
      </w:r>
    </w:p>
    <w:p w14:paraId="335CC7FD" w14:textId="77777777" w:rsidR="005A2671" w:rsidRDefault="00210A28" w:rsidP="00E64427">
      <w:pPr>
        <w:pStyle w:val="NoSpacing"/>
        <w:numPr>
          <w:ilvl w:val="0"/>
          <w:numId w:val="12"/>
        </w:numPr>
        <w:rPr>
          <w:rFonts w:ascii="Arial" w:hAnsi="Arial" w:cs="Arial"/>
          <w:sz w:val="24"/>
          <w:szCs w:val="24"/>
        </w:rPr>
      </w:pPr>
      <w:r w:rsidRPr="007A0968">
        <w:rPr>
          <w:rFonts w:ascii="Arial" w:hAnsi="Arial" w:cs="Arial"/>
          <w:sz w:val="24"/>
          <w:szCs w:val="24"/>
        </w:rPr>
        <w:t>IQA and EQA report</w:t>
      </w:r>
      <w:r w:rsidR="005A2671">
        <w:rPr>
          <w:rFonts w:ascii="Arial" w:hAnsi="Arial" w:cs="Arial"/>
          <w:sz w:val="24"/>
          <w:szCs w:val="24"/>
        </w:rPr>
        <w:t>s</w:t>
      </w:r>
    </w:p>
    <w:p w14:paraId="383B676B" w14:textId="7DB8B1B5" w:rsidR="0039132F" w:rsidRDefault="00E648D4" w:rsidP="00E64427">
      <w:pPr>
        <w:pStyle w:val="NoSpacing"/>
        <w:numPr>
          <w:ilvl w:val="0"/>
          <w:numId w:val="12"/>
        </w:numPr>
        <w:rPr>
          <w:rFonts w:ascii="Arial" w:hAnsi="Arial" w:cs="Arial"/>
          <w:sz w:val="24"/>
          <w:szCs w:val="24"/>
        </w:rPr>
      </w:pPr>
      <w:r>
        <w:rPr>
          <w:rFonts w:ascii="Arial" w:hAnsi="Arial" w:cs="Arial"/>
          <w:sz w:val="24"/>
          <w:szCs w:val="24"/>
        </w:rPr>
        <w:t xml:space="preserve">SAR and QIP </w:t>
      </w:r>
    </w:p>
    <w:p w14:paraId="0EAE3A91" w14:textId="77777777" w:rsidR="00C86303" w:rsidRDefault="00C86303" w:rsidP="00C86303">
      <w:pPr>
        <w:pStyle w:val="NoSpacing"/>
        <w:rPr>
          <w:rFonts w:ascii="Arial" w:hAnsi="Arial" w:cs="Arial"/>
          <w:sz w:val="24"/>
          <w:szCs w:val="24"/>
        </w:rPr>
      </w:pPr>
    </w:p>
    <w:p w14:paraId="3CECF7EC" w14:textId="77777777" w:rsidR="00C86303" w:rsidRDefault="00C86303" w:rsidP="00E64427">
      <w:pPr>
        <w:pStyle w:val="NoSpacing"/>
        <w:numPr>
          <w:ilvl w:val="0"/>
          <w:numId w:val="6"/>
        </w:numPr>
        <w:rPr>
          <w:rFonts w:ascii="Arial" w:hAnsi="Arial" w:cs="Arial"/>
          <w:sz w:val="24"/>
          <w:szCs w:val="24"/>
        </w:rPr>
      </w:pPr>
      <w:r>
        <w:rPr>
          <w:rFonts w:ascii="Arial" w:hAnsi="Arial" w:cs="Arial"/>
          <w:sz w:val="24"/>
          <w:szCs w:val="24"/>
        </w:rPr>
        <w:t>Previous performance</w:t>
      </w:r>
    </w:p>
    <w:p w14:paraId="69EFF3B2" w14:textId="77777777" w:rsidR="00C86303" w:rsidRDefault="00C86303" w:rsidP="00C86303">
      <w:pPr>
        <w:pStyle w:val="NoSpacing"/>
        <w:ind w:left="720"/>
        <w:rPr>
          <w:rFonts w:ascii="Arial" w:hAnsi="Arial" w:cs="Arial"/>
          <w:sz w:val="24"/>
          <w:szCs w:val="24"/>
        </w:rPr>
      </w:pPr>
      <w:r>
        <w:rPr>
          <w:rFonts w:ascii="Arial" w:hAnsi="Arial" w:cs="Arial"/>
          <w:sz w:val="24"/>
          <w:szCs w:val="24"/>
        </w:rPr>
        <w:t>This will include:</w:t>
      </w:r>
    </w:p>
    <w:p w14:paraId="3564E123" w14:textId="77777777" w:rsidR="00C86303" w:rsidRDefault="00C86303" w:rsidP="00E64427">
      <w:pPr>
        <w:pStyle w:val="NoSpacing"/>
        <w:numPr>
          <w:ilvl w:val="0"/>
          <w:numId w:val="11"/>
        </w:numPr>
        <w:rPr>
          <w:rFonts w:ascii="Arial" w:hAnsi="Arial" w:cs="Arial"/>
          <w:sz w:val="24"/>
          <w:szCs w:val="24"/>
        </w:rPr>
      </w:pPr>
      <w:r>
        <w:rPr>
          <w:rFonts w:ascii="Arial" w:hAnsi="Arial" w:cs="Arial"/>
          <w:sz w:val="24"/>
          <w:szCs w:val="24"/>
        </w:rPr>
        <w:t>History of the organisation</w:t>
      </w:r>
    </w:p>
    <w:p w14:paraId="4D098D6A" w14:textId="75587CFD" w:rsidR="00C86303" w:rsidRPr="00C86303" w:rsidRDefault="00C86303" w:rsidP="00E64427">
      <w:pPr>
        <w:pStyle w:val="NoSpacing"/>
        <w:numPr>
          <w:ilvl w:val="0"/>
          <w:numId w:val="11"/>
        </w:numPr>
        <w:rPr>
          <w:rFonts w:ascii="Arial" w:hAnsi="Arial" w:cs="Arial"/>
          <w:sz w:val="24"/>
          <w:szCs w:val="24"/>
        </w:rPr>
      </w:pPr>
      <w:r>
        <w:rPr>
          <w:rFonts w:ascii="Arial" w:hAnsi="Arial" w:cs="Arial"/>
          <w:sz w:val="24"/>
          <w:szCs w:val="24"/>
        </w:rPr>
        <w:t>Achievement, retention and pass rates</w:t>
      </w:r>
      <w:r w:rsidRPr="007A0968">
        <w:rPr>
          <w:rFonts w:ascii="Arial" w:hAnsi="Arial" w:cs="Arial"/>
          <w:sz w:val="24"/>
          <w:szCs w:val="24"/>
        </w:rPr>
        <w:t xml:space="preserve"> </w:t>
      </w:r>
      <w:r>
        <w:rPr>
          <w:rFonts w:ascii="Arial" w:hAnsi="Arial" w:cs="Arial"/>
          <w:sz w:val="24"/>
          <w:szCs w:val="24"/>
        </w:rPr>
        <w:t xml:space="preserve">for proposed curricular </w:t>
      </w:r>
    </w:p>
    <w:p w14:paraId="4EC7DAC2" w14:textId="77777777" w:rsidR="00A34023" w:rsidRPr="007A0968" w:rsidRDefault="00A34023" w:rsidP="00AE5B3A">
      <w:pPr>
        <w:pStyle w:val="NoSpacing"/>
        <w:rPr>
          <w:rFonts w:ascii="Arial" w:hAnsi="Arial" w:cs="Arial"/>
          <w:sz w:val="24"/>
          <w:szCs w:val="24"/>
        </w:rPr>
      </w:pPr>
    </w:p>
    <w:p w14:paraId="6D5387E3" w14:textId="3E0C5147" w:rsidR="00370B8A" w:rsidRDefault="00464F61" w:rsidP="008F167A">
      <w:pPr>
        <w:rPr>
          <w:rFonts w:ascii="Arial" w:hAnsi="Arial" w:cs="Arial"/>
          <w:b/>
          <w:sz w:val="24"/>
          <w:szCs w:val="24"/>
        </w:rPr>
      </w:pPr>
      <w:r>
        <w:rPr>
          <w:rFonts w:ascii="Arial" w:hAnsi="Arial" w:cs="Arial"/>
          <w:b/>
          <w:sz w:val="24"/>
          <w:szCs w:val="24"/>
        </w:rPr>
        <w:t>6</w:t>
      </w:r>
      <w:r w:rsidR="003C0E2D">
        <w:rPr>
          <w:rFonts w:ascii="Arial" w:hAnsi="Arial" w:cs="Arial"/>
          <w:b/>
          <w:sz w:val="24"/>
          <w:szCs w:val="24"/>
        </w:rPr>
        <w:t xml:space="preserve">. </w:t>
      </w:r>
      <w:r w:rsidR="00F20224">
        <w:rPr>
          <w:rFonts w:ascii="Arial" w:hAnsi="Arial" w:cs="Arial"/>
          <w:b/>
          <w:sz w:val="24"/>
          <w:szCs w:val="24"/>
        </w:rPr>
        <w:t>Contracting</w:t>
      </w:r>
    </w:p>
    <w:p w14:paraId="48BB1263" w14:textId="5EBFECE5" w:rsidR="00370B8A" w:rsidRPr="00FB4E17" w:rsidRDefault="008003A6" w:rsidP="00370B8A">
      <w:pPr>
        <w:rPr>
          <w:rFonts w:ascii="Arial" w:hAnsi="Arial" w:cs="Arial"/>
          <w:sz w:val="24"/>
          <w:szCs w:val="24"/>
        </w:rPr>
      </w:pPr>
      <w:r w:rsidRPr="00FB4E17">
        <w:rPr>
          <w:rFonts w:ascii="Arial" w:hAnsi="Arial" w:cs="Arial"/>
          <w:sz w:val="24"/>
          <w:szCs w:val="24"/>
        </w:rPr>
        <w:t>RTA will</w:t>
      </w:r>
      <w:r w:rsidR="00370B8A" w:rsidRPr="00FB4E17">
        <w:rPr>
          <w:rFonts w:ascii="Arial" w:hAnsi="Arial" w:cs="Arial"/>
          <w:sz w:val="24"/>
          <w:szCs w:val="24"/>
        </w:rPr>
        <w:t xml:space="preserve"> only award subcontracts for delivery of funded provision to legal entities. If the legal entity is a registered company, it must be recorded as ‘active’ on the Companies House database. Subcontractors must register on the UK Register of Learning Providers</w:t>
      </w:r>
      <w:r w:rsidRPr="00FB4E17">
        <w:rPr>
          <w:rFonts w:ascii="Arial" w:hAnsi="Arial" w:cs="Arial"/>
          <w:sz w:val="24"/>
          <w:szCs w:val="24"/>
        </w:rPr>
        <w:t xml:space="preserve"> </w:t>
      </w:r>
      <w:r w:rsidR="00370B8A" w:rsidRPr="00FB4E17">
        <w:rPr>
          <w:rFonts w:ascii="Arial" w:hAnsi="Arial" w:cs="Arial"/>
          <w:sz w:val="24"/>
          <w:szCs w:val="24"/>
        </w:rPr>
        <w:t>(UKRLP) and hold a valid UK Provider Reference Number (UKPRN) to be eligible to receive fun</w:t>
      </w:r>
      <w:r w:rsidRPr="00FB4E17">
        <w:rPr>
          <w:rFonts w:ascii="Arial" w:hAnsi="Arial" w:cs="Arial"/>
          <w:sz w:val="24"/>
          <w:szCs w:val="24"/>
        </w:rPr>
        <w:t>ding from us</w:t>
      </w:r>
      <w:r w:rsidR="00370B8A" w:rsidRPr="00FB4E17">
        <w:rPr>
          <w:rFonts w:ascii="Arial" w:hAnsi="Arial" w:cs="Arial"/>
          <w:sz w:val="24"/>
          <w:szCs w:val="24"/>
        </w:rPr>
        <w:t xml:space="preserve"> through a subcontracting arrangement. </w:t>
      </w:r>
    </w:p>
    <w:p w14:paraId="7997ED06" w14:textId="64202428" w:rsidR="00FB4E17" w:rsidRPr="00FB4E17" w:rsidRDefault="00FB4E17" w:rsidP="00370B8A">
      <w:pPr>
        <w:rPr>
          <w:rFonts w:ascii="Arial" w:hAnsi="Arial" w:cs="Arial"/>
          <w:sz w:val="24"/>
          <w:szCs w:val="24"/>
        </w:rPr>
      </w:pPr>
      <w:r w:rsidRPr="00FB4E17">
        <w:rPr>
          <w:rFonts w:ascii="Arial" w:hAnsi="Arial" w:cs="Arial"/>
          <w:sz w:val="24"/>
          <w:szCs w:val="24"/>
        </w:rPr>
        <w:t>No subcontractor will be given access to funding until due diligence has been completed and a contract has been signed by the Chief Executive and a</w:t>
      </w:r>
      <w:r>
        <w:rPr>
          <w:rFonts w:ascii="Arial" w:hAnsi="Arial" w:cs="Arial"/>
          <w:sz w:val="24"/>
          <w:szCs w:val="24"/>
        </w:rPr>
        <w:t xml:space="preserve">n authorised signatory </w:t>
      </w:r>
      <w:r w:rsidR="00A34023">
        <w:rPr>
          <w:rFonts w:ascii="Arial" w:hAnsi="Arial" w:cs="Arial"/>
          <w:sz w:val="24"/>
          <w:szCs w:val="24"/>
        </w:rPr>
        <w:t xml:space="preserve">on behalf </w:t>
      </w:r>
      <w:r w:rsidRPr="00FB4E17">
        <w:rPr>
          <w:rFonts w:ascii="Arial" w:hAnsi="Arial" w:cs="Arial"/>
          <w:sz w:val="24"/>
          <w:szCs w:val="24"/>
        </w:rPr>
        <w:t xml:space="preserve">of the sub-contracting organisation. </w:t>
      </w:r>
    </w:p>
    <w:p w14:paraId="04F69E65" w14:textId="4B8054BB" w:rsidR="00370B8A" w:rsidRPr="00FB4E17" w:rsidRDefault="008003A6" w:rsidP="00370B8A">
      <w:pPr>
        <w:rPr>
          <w:rFonts w:ascii="Arial" w:hAnsi="Arial" w:cs="Arial"/>
          <w:sz w:val="24"/>
          <w:szCs w:val="24"/>
        </w:rPr>
      </w:pPr>
      <w:r w:rsidRPr="00FB4E17">
        <w:rPr>
          <w:rFonts w:ascii="Arial" w:hAnsi="Arial" w:cs="Arial"/>
          <w:sz w:val="24"/>
          <w:szCs w:val="24"/>
        </w:rPr>
        <w:t>RTA will</w:t>
      </w:r>
      <w:r w:rsidR="00370B8A" w:rsidRPr="00FB4E17">
        <w:rPr>
          <w:rFonts w:ascii="Arial" w:hAnsi="Arial" w:cs="Arial"/>
          <w:sz w:val="24"/>
          <w:szCs w:val="24"/>
        </w:rPr>
        <w:t xml:space="preserve"> </w:t>
      </w:r>
      <w:r w:rsidRPr="00FB4E17">
        <w:rPr>
          <w:rFonts w:ascii="Arial" w:hAnsi="Arial" w:cs="Arial"/>
          <w:sz w:val="24"/>
          <w:szCs w:val="24"/>
        </w:rPr>
        <w:t>en</w:t>
      </w:r>
      <w:r w:rsidR="00370B8A" w:rsidRPr="00FB4E17">
        <w:rPr>
          <w:rFonts w:ascii="Arial" w:hAnsi="Arial" w:cs="Arial"/>
          <w:sz w:val="24"/>
          <w:szCs w:val="24"/>
        </w:rPr>
        <w:t xml:space="preserve">sure that learners supported through subcontracting arrangements </w:t>
      </w:r>
      <w:r w:rsidRPr="00FB4E17">
        <w:rPr>
          <w:rFonts w:ascii="Arial" w:hAnsi="Arial" w:cs="Arial"/>
          <w:sz w:val="24"/>
          <w:szCs w:val="24"/>
        </w:rPr>
        <w:t xml:space="preserve">know about RTA and </w:t>
      </w:r>
      <w:r w:rsidR="00370B8A" w:rsidRPr="00FB4E17">
        <w:rPr>
          <w:rFonts w:ascii="Arial" w:hAnsi="Arial" w:cs="Arial"/>
          <w:sz w:val="24"/>
          <w:szCs w:val="24"/>
        </w:rPr>
        <w:t>our subcontractors’ roles and responsibilities in providing the learning.</w:t>
      </w:r>
    </w:p>
    <w:p w14:paraId="59678CE3" w14:textId="777F533C" w:rsidR="00370B8A" w:rsidRPr="00FB4E17" w:rsidRDefault="00370B8A" w:rsidP="00370B8A">
      <w:pPr>
        <w:rPr>
          <w:rFonts w:ascii="Arial" w:hAnsi="Arial" w:cs="Arial"/>
          <w:sz w:val="24"/>
          <w:szCs w:val="24"/>
        </w:rPr>
      </w:pPr>
      <w:r w:rsidRPr="00FB4E17">
        <w:rPr>
          <w:rFonts w:ascii="Arial" w:hAnsi="Arial" w:cs="Arial"/>
          <w:sz w:val="24"/>
          <w:szCs w:val="24"/>
        </w:rPr>
        <w:t xml:space="preserve">As a </w:t>
      </w:r>
      <w:r w:rsidR="008003A6" w:rsidRPr="00FB4E17">
        <w:rPr>
          <w:rFonts w:ascii="Arial" w:hAnsi="Arial" w:cs="Arial"/>
          <w:sz w:val="24"/>
          <w:szCs w:val="24"/>
        </w:rPr>
        <w:t>minimum the subcontract will</w:t>
      </w:r>
      <w:r w:rsidRPr="00FB4E17">
        <w:rPr>
          <w:rFonts w:ascii="Arial" w:hAnsi="Arial" w:cs="Arial"/>
          <w:sz w:val="24"/>
          <w:szCs w:val="24"/>
        </w:rPr>
        <w:t xml:space="preserve"> cover the following points:</w:t>
      </w:r>
    </w:p>
    <w:p w14:paraId="2B32CA6F" w14:textId="6F3DACA9" w:rsidR="00FB4E17" w:rsidRPr="00FB4E17" w:rsidRDefault="00FB4E17" w:rsidP="00E64427">
      <w:pPr>
        <w:pStyle w:val="NoSpacing"/>
        <w:numPr>
          <w:ilvl w:val="0"/>
          <w:numId w:val="13"/>
        </w:numPr>
        <w:rPr>
          <w:rFonts w:ascii="Arial" w:hAnsi="Arial" w:cs="Arial"/>
          <w:sz w:val="24"/>
          <w:szCs w:val="24"/>
        </w:rPr>
      </w:pPr>
      <w:r w:rsidRPr="00FB4E17">
        <w:rPr>
          <w:rFonts w:ascii="Arial" w:hAnsi="Arial" w:cs="Arial"/>
          <w:sz w:val="24"/>
          <w:szCs w:val="24"/>
        </w:rPr>
        <w:t>The contract document will set out the maximum amount o</w:t>
      </w:r>
      <w:r w:rsidR="000E0652">
        <w:rPr>
          <w:rFonts w:ascii="Arial" w:hAnsi="Arial" w:cs="Arial"/>
          <w:sz w:val="24"/>
          <w:szCs w:val="24"/>
        </w:rPr>
        <w:t>f funding available to each subcontractor. Each sub</w:t>
      </w:r>
      <w:r w:rsidRPr="00FB4E17">
        <w:rPr>
          <w:rFonts w:ascii="Arial" w:hAnsi="Arial" w:cs="Arial"/>
          <w:sz w:val="24"/>
          <w:szCs w:val="24"/>
        </w:rPr>
        <w:t>contractor will receive sufficient funding to cover the duration of the programme for each enrolled learner.</w:t>
      </w:r>
    </w:p>
    <w:p w14:paraId="2B6E04F0" w14:textId="77777777" w:rsidR="00FB4E17" w:rsidRPr="00FB4E17" w:rsidRDefault="00FB4E17" w:rsidP="00FB4E17">
      <w:pPr>
        <w:pStyle w:val="NoSpacing"/>
        <w:ind w:left="720"/>
        <w:rPr>
          <w:rFonts w:ascii="Arial" w:hAnsi="Arial" w:cs="Arial"/>
          <w:color w:val="1F497D" w:themeColor="text2"/>
          <w:sz w:val="24"/>
          <w:szCs w:val="24"/>
        </w:rPr>
      </w:pPr>
    </w:p>
    <w:p w14:paraId="0CDB048C" w14:textId="34A80253" w:rsidR="00370B8A" w:rsidRPr="00A34023" w:rsidRDefault="008003A6" w:rsidP="00E64427">
      <w:pPr>
        <w:pStyle w:val="NoSpacing"/>
        <w:numPr>
          <w:ilvl w:val="0"/>
          <w:numId w:val="13"/>
        </w:numPr>
        <w:rPr>
          <w:rFonts w:ascii="Arial" w:hAnsi="Arial" w:cs="Arial"/>
          <w:sz w:val="24"/>
          <w:szCs w:val="24"/>
        </w:rPr>
      </w:pPr>
      <w:r w:rsidRPr="00A34023">
        <w:rPr>
          <w:rFonts w:ascii="Arial" w:hAnsi="Arial" w:cs="Arial"/>
          <w:sz w:val="24"/>
          <w:szCs w:val="24"/>
        </w:rPr>
        <w:t>A list of all services RTA</w:t>
      </w:r>
      <w:r w:rsidR="00FB4E17" w:rsidRPr="00A34023">
        <w:rPr>
          <w:rFonts w:ascii="Arial" w:hAnsi="Arial" w:cs="Arial"/>
          <w:sz w:val="24"/>
          <w:szCs w:val="24"/>
        </w:rPr>
        <w:t xml:space="preserve"> will provide</w:t>
      </w:r>
      <w:r w:rsidR="00370B8A" w:rsidRPr="00A34023">
        <w:rPr>
          <w:rFonts w:ascii="Arial" w:hAnsi="Arial" w:cs="Arial"/>
          <w:sz w:val="24"/>
          <w:szCs w:val="24"/>
        </w:rPr>
        <w:t xml:space="preserve"> and the associat</w:t>
      </w:r>
      <w:r w:rsidRPr="00A34023">
        <w:rPr>
          <w:rFonts w:ascii="Arial" w:hAnsi="Arial" w:cs="Arial"/>
          <w:sz w:val="24"/>
          <w:szCs w:val="24"/>
        </w:rPr>
        <w:t>ed costs for doing so. This will</w:t>
      </w:r>
      <w:r w:rsidR="00370B8A" w:rsidRPr="00A34023">
        <w:rPr>
          <w:rFonts w:ascii="Arial" w:hAnsi="Arial" w:cs="Arial"/>
          <w:sz w:val="24"/>
          <w:szCs w:val="24"/>
        </w:rPr>
        <w:t xml:space="preserve"> include:</w:t>
      </w:r>
    </w:p>
    <w:p w14:paraId="0577835E" w14:textId="4F4E46C6" w:rsidR="00370B8A" w:rsidRPr="00A34023" w:rsidRDefault="00370B8A" w:rsidP="00E64427">
      <w:pPr>
        <w:pStyle w:val="ListParagraph"/>
        <w:numPr>
          <w:ilvl w:val="0"/>
          <w:numId w:val="18"/>
        </w:numPr>
        <w:rPr>
          <w:rFonts w:ascii="Arial" w:hAnsi="Arial" w:cs="Arial"/>
          <w:sz w:val="24"/>
          <w:szCs w:val="24"/>
        </w:rPr>
      </w:pPr>
      <w:r w:rsidRPr="00A34023">
        <w:rPr>
          <w:rFonts w:ascii="Arial" w:hAnsi="Arial" w:cs="Arial"/>
          <w:sz w:val="24"/>
          <w:szCs w:val="24"/>
        </w:rPr>
        <w:t>A list of individually i</w:t>
      </w:r>
      <w:r w:rsidR="008003A6" w:rsidRPr="00A34023">
        <w:rPr>
          <w:rFonts w:ascii="Arial" w:hAnsi="Arial" w:cs="Arial"/>
          <w:sz w:val="24"/>
          <w:szCs w:val="24"/>
        </w:rPr>
        <w:t>temised, specific costs that RTA</w:t>
      </w:r>
      <w:r w:rsidRPr="00A34023">
        <w:rPr>
          <w:rFonts w:ascii="Arial" w:hAnsi="Arial" w:cs="Arial"/>
          <w:sz w:val="24"/>
          <w:szCs w:val="24"/>
        </w:rPr>
        <w:t xml:space="preserve"> will charge for managing the subcontractor and how these are reasonable and proportionate to the delivery of subcontracted provision.</w:t>
      </w:r>
    </w:p>
    <w:p w14:paraId="51B36CE7" w14:textId="2B133913" w:rsidR="00370B8A" w:rsidRPr="00A34023" w:rsidRDefault="00370B8A" w:rsidP="00E64427">
      <w:pPr>
        <w:pStyle w:val="ListParagraph"/>
        <w:numPr>
          <w:ilvl w:val="0"/>
          <w:numId w:val="18"/>
        </w:numPr>
        <w:rPr>
          <w:rFonts w:ascii="Arial" w:hAnsi="Arial" w:cs="Arial"/>
          <w:sz w:val="24"/>
          <w:szCs w:val="24"/>
        </w:rPr>
      </w:pPr>
      <w:r w:rsidRPr="00A34023">
        <w:rPr>
          <w:rFonts w:ascii="Arial" w:hAnsi="Arial" w:cs="Arial"/>
          <w:sz w:val="24"/>
          <w:szCs w:val="24"/>
        </w:rPr>
        <w:t>Specific costs for quality monitoring activities and specific costs for any other su</w:t>
      </w:r>
      <w:r w:rsidR="008003A6" w:rsidRPr="00A34023">
        <w:rPr>
          <w:rFonts w:ascii="Arial" w:hAnsi="Arial" w:cs="Arial"/>
          <w:sz w:val="24"/>
          <w:szCs w:val="24"/>
        </w:rPr>
        <w:t>pport activities offered by RTA</w:t>
      </w:r>
      <w:r w:rsidRPr="00A34023">
        <w:rPr>
          <w:rFonts w:ascii="Arial" w:hAnsi="Arial" w:cs="Arial"/>
          <w:sz w:val="24"/>
          <w:szCs w:val="24"/>
        </w:rPr>
        <w:t xml:space="preserve"> to the subcontractor and how these contribute to the delivery of high-quality learning.</w:t>
      </w:r>
    </w:p>
    <w:p w14:paraId="19890E1E" w14:textId="7D86B47B" w:rsidR="00CD5476" w:rsidRPr="009A2941" w:rsidRDefault="008003A6" w:rsidP="00E64427">
      <w:pPr>
        <w:pStyle w:val="ListParagraph"/>
        <w:numPr>
          <w:ilvl w:val="0"/>
          <w:numId w:val="18"/>
        </w:numPr>
        <w:rPr>
          <w:rFonts w:ascii="Arial" w:hAnsi="Arial" w:cs="Arial"/>
          <w:sz w:val="24"/>
          <w:szCs w:val="24"/>
        </w:rPr>
      </w:pPr>
      <w:r w:rsidRPr="00A34023">
        <w:rPr>
          <w:rFonts w:ascii="Arial" w:hAnsi="Arial" w:cs="Arial"/>
          <w:sz w:val="24"/>
          <w:szCs w:val="24"/>
        </w:rPr>
        <w:t>Reference to RTA’s</w:t>
      </w:r>
      <w:r w:rsidR="00370B8A" w:rsidRPr="00A34023">
        <w:rPr>
          <w:rFonts w:ascii="Arial" w:hAnsi="Arial" w:cs="Arial"/>
          <w:sz w:val="24"/>
          <w:szCs w:val="24"/>
        </w:rPr>
        <w:t xml:space="preserve"> delivery su</w:t>
      </w:r>
      <w:r w:rsidRPr="00A34023">
        <w:rPr>
          <w:rFonts w:ascii="Arial" w:hAnsi="Arial" w:cs="Arial"/>
          <w:sz w:val="24"/>
          <w:szCs w:val="24"/>
        </w:rPr>
        <w:t xml:space="preserve">bcontracting policy, including </w:t>
      </w:r>
      <w:r w:rsidR="00370B8A" w:rsidRPr="00A34023">
        <w:rPr>
          <w:rFonts w:ascii="Arial" w:hAnsi="Arial" w:cs="Arial"/>
          <w:sz w:val="24"/>
          <w:szCs w:val="24"/>
        </w:rPr>
        <w:t>our rationale for subcontractin</w:t>
      </w:r>
      <w:r w:rsidRPr="00A34023">
        <w:rPr>
          <w:rFonts w:ascii="Arial" w:hAnsi="Arial" w:cs="Arial"/>
          <w:sz w:val="24"/>
          <w:szCs w:val="24"/>
        </w:rPr>
        <w:t xml:space="preserve">g and where it can be found on </w:t>
      </w:r>
      <w:r w:rsidR="00370B8A" w:rsidRPr="00A34023">
        <w:rPr>
          <w:rFonts w:ascii="Arial" w:hAnsi="Arial" w:cs="Arial"/>
          <w:sz w:val="24"/>
          <w:szCs w:val="24"/>
        </w:rPr>
        <w:t>our website.</w:t>
      </w:r>
    </w:p>
    <w:p w14:paraId="6F9E2891" w14:textId="01B2254F" w:rsidR="00370B8A" w:rsidRPr="006112EF" w:rsidRDefault="00370B8A"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lastRenderedPageBreak/>
        <w:t>A requirement for the subcontractor to give the Department</w:t>
      </w:r>
      <w:r w:rsidR="000E0652">
        <w:rPr>
          <w:rFonts w:ascii="Arial" w:hAnsi="Arial" w:cs="Arial"/>
          <w:color w:val="000000" w:themeColor="text1"/>
          <w:sz w:val="24"/>
          <w:szCs w:val="24"/>
        </w:rPr>
        <w:t xml:space="preserve"> of Education</w:t>
      </w:r>
      <w:r w:rsidRPr="006112EF">
        <w:rPr>
          <w:rFonts w:ascii="Arial" w:hAnsi="Arial" w:cs="Arial"/>
          <w:color w:val="000000" w:themeColor="text1"/>
          <w:sz w:val="24"/>
          <w:szCs w:val="24"/>
        </w:rPr>
        <w:t>, and any other pers</w:t>
      </w:r>
      <w:r w:rsidR="000E0652">
        <w:rPr>
          <w:rFonts w:ascii="Arial" w:hAnsi="Arial" w:cs="Arial"/>
          <w:color w:val="000000" w:themeColor="text1"/>
          <w:sz w:val="24"/>
          <w:szCs w:val="24"/>
        </w:rPr>
        <w:t>on nominated in writing by the d</w:t>
      </w:r>
      <w:r w:rsidRPr="006112EF">
        <w:rPr>
          <w:rFonts w:ascii="Arial" w:hAnsi="Arial" w:cs="Arial"/>
          <w:color w:val="000000" w:themeColor="text1"/>
          <w:sz w:val="24"/>
          <w:szCs w:val="24"/>
        </w:rPr>
        <w:t>epartment, access to its premises and to all documents related to their subcontracted delivery.</w:t>
      </w:r>
    </w:p>
    <w:p w14:paraId="322E64C2" w14:textId="77777777" w:rsidR="000E301E" w:rsidRPr="006112EF" w:rsidRDefault="000E301E" w:rsidP="000E301E">
      <w:pPr>
        <w:pStyle w:val="ListParagraph"/>
        <w:rPr>
          <w:rFonts w:ascii="Arial" w:hAnsi="Arial" w:cs="Arial"/>
          <w:color w:val="000000" w:themeColor="text1"/>
          <w:sz w:val="24"/>
          <w:szCs w:val="24"/>
        </w:rPr>
      </w:pPr>
    </w:p>
    <w:p w14:paraId="5D43EF7D" w14:textId="4B1D809D" w:rsidR="00370B8A" w:rsidRPr="006112EF" w:rsidRDefault="00370B8A"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A requirement for the subcontractor to pr</w:t>
      </w:r>
      <w:r w:rsidR="000E301E" w:rsidRPr="006112EF">
        <w:rPr>
          <w:rFonts w:ascii="Arial" w:hAnsi="Arial" w:cs="Arial"/>
          <w:color w:val="000000" w:themeColor="text1"/>
          <w:sz w:val="24"/>
          <w:szCs w:val="24"/>
        </w:rPr>
        <w:t>ovide RTA</w:t>
      </w:r>
      <w:r w:rsidR="000E0652">
        <w:rPr>
          <w:rFonts w:ascii="Arial" w:hAnsi="Arial" w:cs="Arial"/>
          <w:color w:val="000000" w:themeColor="text1"/>
          <w:sz w:val="24"/>
          <w:szCs w:val="24"/>
        </w:rPr>
        <w:t xml:space="preserve"> with ILR data so that</w:t>
      </w:r>
      <w:r w:rsidR="000E301E" w:rsidRPr="006112EF">
        <w:rPr>
          <w:rFonts w:ascii="Arial" w:hAnsi="Arial" w:cs="Arial"/>
          <w:color w:val="000000" w:themeColor="text1"/>
          <w:sz w:val="24"/>
          <w:szCs w:val="24"/>
        </w:rPr>
        <w:t xml:space="preserve"> </w:t>
      </w:r>
      <w:r w:rsidRPr="006112EF">
        <w:rPr>
          <w:rFonts w:ascii="Arial" w:hAnsi="Arial" w:cs="Arial"/>
          <w:color w:val="000000" w:themeColor="text1"/>
          <w:sz w:val="24"/>
          <w:szCs w:val="24"/>
        </w:rPr>
        <w:t>data returns to the dep</w:t>
      </w:r>
      <w:r w:rsidR="000E301E" w:rsidRPr="006112EF">
        <w:rPr>
          <w:rFonts w:ascii="Arial" w:hAnsi="Arial" w:cs="Arial"/>
          <w:color w:val="000000" w:themeColor="text1"/>
          <w:sz w:val="24"/>
          <w:szCs w:val="24"/>
        </w:rPr>
        <w:t xml:space="preserve">artment accurately reflect </w:t>
      </w:r>
      <w:r w:rsidRPr="006112EF">
        <w:rPr>
          <w:rFonts w:ascii="Arial" w:hAnsi="Arial" w:cs="Arial"/>
          <w:color w:val="000000" w:themeColor="text1"/>
          <w:sz w:val="24"/>
          <w:szCs w:val="24"/>
        </w:rPr>
        <w:t>our subcontractor’s delivery information.</w:t>
      </w:r>
    </w:p>
    <w:p w14:paraId="74D2B9D0" w14:textId="77777777" w:rsidR="000E301E" w:rsidRPr="006112EF" w:rsidRDefault="000E301E" w:rsidP="000E301E">
      <w:pPr>
        <w:pStyle w:val="ListParagraph"/>
        <w:rPr>
          <w:rFonts w:ascii="Arial" w:hAnsi="Arial" w:cs="Arial"/>
          <w:color w:val="000000" w:themeColor="text1"/>
          <w:sz w:val="24"/>
          <w:szCs w:val="24"/>
        </w:rPr>
      </w:pPr>
    </w:p>
    <w:p w14:paraId="12E73790" w14:textId="14747376" w:rsidR="006112EF" w:rsidRPr="006112EF" w:rsidRDefault="00370B8A"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A requirement for the subcontractor to provi</w:t>
      </w:r>
      <w:r w:rsidR="000E301E" w:rsidRPr="006112EF">
        <w:rPr>
          <w:rFonts w:ascii="Arial" w:hAnsi="Arial" w:cs="Arial"/>
          <w:color w:val="000000" w:themeColor="text1"/>
          <w:sz w:val="24"/>
          <w:szCs w:val="24"/>
        </w:rPr>
        <w:t>de RTA</w:t>
      </w:r>
      <w:r w:rsidRPr="006112EF">
        <w:rPr>
          <w:rFonts w:ascii="Arial" w:hAnsi="Arial" w:cs="Arial"/>
          <w:color w:val="000000" w:themeColor="text1"/>
          <w:sz w:val="24"/>
          <w:szCs w:val="24"/>
        </w:rPr>
        <w:t xml:space="preserve"> with sufficient evidence </w:t>
      </w:r>
      <w:r w:rsidR="000E301E" w:rsidRPr="006112EF">
        <w:rPr>
          <w:rFonts w:ascii="Arial" w:hAnsi="Arial" w:cs="Arial"/>
          <w:color w:val="000000" w:themeColor="text1"/>
          <w:sz w:val="24"/>
          <w:szCs w:val="24"/>
        </w:rPr>
        <w:t>to allow us</w:t>
      </w:r>
      <w:r w:rsidRPr="006112EF">
        <w:rPr>
          <w:rFonts w:ascii="Arial" w:hAnsi="Arial" w:cs="Arial"/>
          <w:color w:val="000000" w:themeColor="text1"/>
          <w:sz w:val="24"/>
          <w:szCs w:val="24"/>
        </w:rPr>
        <w:t xml:space="preserve"> to assess its performance aga</w:t>
      </w:r>
      <w:r w:rsidR="000E301E" w:rsidRPr="006112EF">
        <w:rPr>
          <w:rFonts w:ascii="Arial" w:hAnsi="Arial" w:cs="Arial"/>
          <w:color w:val="000000" w:themeColor="text1"/>
          <w:sz w:val="24"/>
          <w:szCs w:val="24"/>
        </w:rPr>
        <w:t>inst Ofsted’s Education I</w:t>
      </w:r>
      <w:r w:rsidRPr="006112EF">
        <w:rPr>
          <w:rFonts w:ascii="Arial" w:hAnsi="Arial" w:cs="Arial"/>
          <w:color w:val="000000" w:themeColor="text1"/>
          <w:sz w:val="24"/>
          <w:szCs w:val="24"/>
        </w:rPr>
        <w:t xml:space="preserve">nspection </w:t>
      </w:r>
    </w:p>
    <w:p w14:paraId="2C8C1F7A" w14:textId="652AF27B" w:rsidR="00370B8A" w:rsidRPr="00CD5476" w:rsidRDefault="000E301E" w:rsidP="00CD5476">
      <w:pPr>
        <w:pStyle w:val="ListParagraph"/>
        <w:rPr>
          <w:rFonts w:ascii="Arial" w:hAnsi="Arial" w:cs="Arial"/>
          <w:color w:val="000000" w:themeColor="text1"/>
          <w:sz w:val="24"/>
          <w:szCs w:val="24"/>
        </w:rPr>
      </w:pPr>
      <w:r w:rsidRPr="006112EF">
        <w:rPr>
          <w:rFonts w:ascii="Arial" w:hAnsi="Arial" w:cs="Arial"/>
          <w:color w:val="000000" w:themeColor="text1"/>
          <w:sz w:val="24"/>
          <w:szCs w:val="24"/>
        </w:rPr>
        <w:t>F</w:t>
      </w:r>
      <w:r w:rsidR="00370B8A" w:rsidRPr="006112EF">
        <w:rPr>
          <w:rFonts w:ascii="Arial" w:hAnsi="Arial" w:cs="Arial"/>
          <w:color w:val="000000" w:themeColor="text1"/>
          <w:sz w:val="24"/>
          <w:szCs w:val="24"/>
        </w:rPr>
        <w:t>ramework, incorporate the evidence it pr</w:t>
      </w:r>
      <w:r w:rsidRPr="006112EF">
        <w:rPr>
          <w:rFonts w:ascii="Arial" w:hAnsi="Arial" w:cs="Arial"/>
          <w:color w:val="000000" w:themeColor="text1"/>
          <w:sz w:val="24"/>
          <w:szCs w:val="24"/>
        </w:rPr>
        <w:t xml:space="preserve">ovides us with into </w:t>
      </w:r>
      <w:r w:rsidR="00CD5476">
        <w:rPr>
          <w:rFonts w:ascii="Arial" w:hAnsi="Arial" w:cs="Arial"/>
          <w:color w:val="000000" w:themeColor="text1"/>
          <w:sz w:val="24"/>
          <w:szCs w:val="24"/>
        </w:rPr>
        <w:t>our self-</w:t>
      </w:r>
      <w:r w:rsidR="00370B8A" w:rsidRPr="00CD5476">
        <w:rPr>
          <w:rFonts w:ascii="Arial" w:hAnsi="Arial" w:cs="Arial"/>
          <w:color w:val="000000" w:themeColor="text1"/>
          <w:sz w:val="24"/>
          <w:szCs w:val="24"/>
        </w:rPr>
        <w:t>assessment report and guide the judgeme</w:t>
      </w:r>
      <w:r w:rsidRPr="00CD5476">
        <w:rPr>
          <w:rFonts w:ascii="Arial" w:hAnsi="Arial" w:cs="Arial"/>
          <w:color w:val="000000" w:themeColor="text1"/>
          <w:sz w:val="24"/>
          <w:szCs w:val="24"/>
        </w:rPr>
        <w:t xml:space="preserve">nts and grades within </w:t>
      </w:r>
      <w:r w:rsidR="000E0652" w:rsidRPr="00CD5476">
        <w:rPr>
          <w:rFonts w:ascii="Arial" w:hAnsi="Arial" w:cs="Arial"/>
          <w:color w:val="000000" w:themeColor="text1"/>
          <w:sz w:val="24"/>
          <w:szCs w:val="24"/>
        </w:rPr>
        <w:t xml:space="preserve">the </w:t>
      </w:r>
      <w:r w:rsidR="00370B8A" w:rsidRPr="00CD5476">
        <w:rPr>
          <w:rFonts w:ascii="Arial" w:hAnsi="Arial" w:cs="Arial"/>
          <w:color w:val="000000" w:themeColor="text1"/>
          <w:sz w:val="24"/>
          <w:szCs w:val="24"/>
        </w:rPr>
        <w:t>report.</w:t>
      </w:r>
    </w:p>
    <w:p w14:paraId="713A4150" w14:textId="77777777" w:rsidR="000E301E" w:rsidRPr="006112EF" w:rsidRDefault="000E301E" w:rsidP="000E301E">
      <w:pPr>
        <w:pStyle w:val="ListParagraph"/>
        <w:rPr>
          <w:rFonts w:ascii="Arial" w:hAnsi="Arial" w:cs="Arial"/>
          <w:color w:val="000000" w:themeColor="text1"/>
          <w:sz w:val="24"/>
          <w:szCs w:val="24"/>
        </w:rPr>
      </w:pPr>
    </w:p>
    <w:p w14:paraId="7E14C97C" w14:textId="5947F2E6" w:rsidR="000E0652" w:rsidRDefault="00370B8A"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A requirement for the subcontractor to always have suitably qualified staff available to provide the education and training funded by the department.</w:t>
      </w:r>
    </w:p>
    <w:p w14:paraId="69C1BBEB" w14:textId="77777777" w:rsidR="00C86303" w:rsidRPr="000E0652" w:rsidRDefault="00C86303" w:rsidP="00C86303">
      <w:pPr>
        <w:pStyle w:val="ListParagraph"/>
        <w:rPr>
          <w:rFonts w:ascii="Arial" w:hAnsi="Arial" w:cs="Arial"/>
          <w:color w:val="000000" w:themeColor="text1"/>
          <w:sz w:val="24"/>
          <w:szCs w:val="24"/>
        </w:rPr>
      </w:pPr>
    </w:p>
    <w:p w14:paraId="44064B74" w14:textId="77777777" w:rsidR="000E301E" w:rsidRPr="006112EF" w:rsidRDefault="000F08A3"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A requirement f</w:t>
      </w:r>
      <w:r w:rsidR="000E301E" w:rsidRPr="006112EF">
        <w:rPr>
          <w:rFonts w:ascii="Arial" w:hAnsi="Arial" w:cs="Arial"/>
          <w:color w:val="000000" w:themeColor="text1"/>
          <w:sz w:val="24"/>
          <w:szCs w:val="24"/>
        </w:rPr>
        <w:t>or the subcontractor to tell RTA</w:t>
      </w:r>
      <w:r w:rsidRPr="006112EF">
        <w:rPr>
          <w:rFonts w:ascii="Arial" w:hAnsi="Arial" w:cs="Arial"/>
          <w:color w:val="000000" w:themeColor="text1"/>
          <w:sz w:val="24"/>
          <w:szCs w:val="24"/>
        </w:rPr>
        <w:t xml:space="preserve"> if evidence of irregular financial or delivery issues arise</w:t>
      </w:r>
      <w:r w:rsidR="00AE5B3A" w:rsidRPr="006112EF">
        <w:rPr>
          <w:rFonts w:ascii="Arial" w:hAnsi="Arial" w:cs="Arial"/>
          <w:color w:val="000000" w:themeColor="text1"/>
          <w:sz w:val="24"/>
          <w:szCs w:val="24"/>
        </w:rPr>
        <w:t>s</w:t>
      </w:r>
      <w:r w:rsidRPr="006112EF">
        <w:rPr>
          <w:rFonts w:ascii="Arial" w:hAnsi="Arial" w:cs="Arial"/>
          <w:color w:val="000000" w:themeColor="text1"/>
          <w:sz w:val="24"/>
          <w:szCs w:val="24"/>
        </w:rPr>
        <w:t>. This could include, but is not limited to, non-delivery of training when funds have been paid; sanctions imposed by an awarding organisation; allegations of fraud; an inadequate Ofsted grade; allegations or complaints by learners, staff members, or other relevant parties.</w:t>
      </w:r>
    </w:p>
    <w:p w14:paraId="74D84582" w14:textId="77777777" w:rsidR="000E301E" w:rsidRPr="006112EF" w:rsidRDefault="000E301E" w:rsidP="000E301E">
      <w:pPr>
        <w:pStyle w:val="ListParagraph"/>
        <w:rPr>
          <w:rFonts w:ascii="Arial" w:hAnsi="Arial" w:cs="Arial"/>
          <w:color w:val="000000" w:themeColor="text1"/>
          <w:sz w:val="24"/>
          <w:szCs w:val="24"/>
        </w:rPr>
      </w:pPr>
    </w:p>
    <w:p w14:paraId="2381AEAB" w14:textId="77777777" w:rsidR="000E301E" w:rsidRPr="006112EF" w:rsidRDefault="000F08A3"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A requirement for the subcontractor not to use funding to make bids for, or claims from, any European funding on its own behalf or on behalf of  the De</w:t>
      </w:r>
      <w:r w:rsidR="000E301E" w:rsidRPr="006112EF">
        <w:rPr>
          <w:rFonts w:ascii="Arial" w:hAnsi="Arial" w:cs="Arial"/>
          <w:color w:val="000000" w:themeColor="text1"/>
          <w:sz w:val="24"/>
          <w:szCs w:val="24"/>
        </w:rPr>
        <w:t>partment. The subcontractor will</w:t>
      </w:r>
      <w:r w:rsidRPr="006112EF">
        <w:rPr>
          <w:rFonts w:ascii="Arial" w:hAnsi="Arial" w:cs="Arial"/>
          <w:color w:val="000000" w:themeColor="text1"/>
          <w:sz w:val="24"/>
          <w:szCs w:val="24"/>
        </w:rPr>
        <w:t xml:space="preserve"> be boun</w:t>
      </w:r>
      <w:r w:rsidR="000E301E" w:rsidRPr="006112EF">
        <w:rPr>
          <w:rFonts w:ascii="Arial" w:hAnsi="Arial" w:cs="Arial"/>
          <w:color w:val="000000" w:themeColor="text1"/>
          <w:sz w:val="24"/>
          <w:szCs w:val="24"/>
        </w:rPr>
        <w:t xml:space="preserve">d by clauses from </w:t>
      </w:r>
      <w:r w:rsidRPr="006112EF">
        <w:rPr>
          <w:rFonts w:ascii="Arial" w:hAnsi="Arial" w:cs="Arial"/>
          <w:color w:val="000000" w:themeColor="text1"/>
          <w:sz w:val="24"/>
          <w:szCs w:val="24"/>
        </w:rPr>
        <w:t>our contract being included in the subcontract, even if the provision being subcontracted is not funded by the ESF.</w:t>
      </w:r>
    </w:p>
    <w:p w14:paraId="18FCE082" w14:textId="77777777" w:rsidR="000E301E" w:rsidRPr="006112EF" w:rsidRDefault="000E301E" w:rsidP="000E301E">
      <w:pPr>
        <w:pStyle w:val="ListParagraph"/>
        <w:rPr>
          <w:rFonts w:ascii="Arial" w:hAnsi="Arial" w:cs="Arial"/>
          <w:color w:val="000000" w:themeColor="text1"/>
          <w:sz w:val="24"/>
          <w:szCs w:val="24"/>
        </w:rPr>
      </w:pPr>
    </w:p>
    <w:p w14:paraId="678F8FAE" w14:textId="27E3145D" w:rsidR="000E0652" w:rsidRDefault="000F08A3"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 xml:space="preserve">A requirement for the subcontractor to comply with the requirements set out </w:t>
      </w:r>
      <w:r w:rsidR="000E301E" w:rsidRPr="006112EF">
        <w:rPr>
          <w:rFonts w:ascii="Arial" w:hAnsi="Arial" w:cs="Arial"/>
          <w:color w:val="000000" w:themeColor="text1"/>
          <w:sz w:val="24"/>
          <w:szCs w:val="24"/>
        </w:rPr>
        <w:t xml:space="preserve">in the current funding rules for </w:t>
      </w:r>
      <w:r w:rsidR="00E648D4" w:rsidRPr="006112EF">
        <w:rPr>
          <w:rFonts w:ascii="Arial" w:hAnsi="Arial" w:cs="Arial"/>
          <w:color w:val="000000" w:themeColor="text1"/>
          <w:sz w:val="24"/>
          <w:szCs w:val="24"/>
        </w:rPr>
        <w:t xml:space="preserve">the </w:t>
      </w:r>
      <w:r w:rsidR="000E301E" w:rsidRPr="006112EF">
        <w:rPr>
          <w:rFonts w:ascii="Arial" w:hAnsi="Arial" w:cs="Arial"/>
          <w:color w:val="000000" w:themeColor="text1"/>
          <w:sz w:val="24"/>
          <w:szCs w:val="24"/>
        </w:rPr>
        <w:t>Study Skills programme.</w:t>
      </w:r>
    </w:p>
    <w:p w14:paraId="4FDE8F24" w14:textId="77777777" w:rsidR="000E0652" w:rsidRPr="000E0652" w:rsidRDefault="000E0652" w:rsidP="000E0652">
      <w:pPr>
        <w:pStyle w:val="ListParagraph"/>
        <w:rPr>
          <w:rFonts w:ascii="Arial" w:hAnsi="Arial" w:cs="Arial"/>
          <w:color w:val="000000" w:themeColor="text1"/>
          <w:sz w:val="24"/>
          <w:szCs w:val="24"/>
        </w:rPr>
      </w:pPr>
    </w:p>
    <w:p w14:paraId="42F39100" w14:textId="77777777" w:rsidR="00F80C9C" w:rsidRPr="000E0652" w:rsidRDefault="00F80C9C" w:rsidP="00E64427">
      <w:pPr>
        <w:pStyle w:val="ListParagraph"/>
        <w:numPr>
          <w:ilvl w:val="0"/>
          <w:numId w:val="13"/>
        </w:numPr>
        <w:rPr>
          <w:rFonts w:ascii="Arial" w:hAnsi="Arial" w:cs="Arial"/>
          <w:color w:val="000000" w:themeColor="text1"/>
          <w:sz w:val="24"/>
          <w:szCs w:val="24"/>
        </w:rPr>
      </w:pPr>
      <w:r w:rsidRPr="000E0652">
        <w:rPr>
          <w:rFonts w:ascii="Arial" w:hAnsi="Arial" w:cs="Arial"/>
          <w:color w:val="000000" w:themeColor="text1"/>
          <w:sz w:val="24"/>
          <w:szCs w:val="24"/>
        </w:rPr>
        <w:t xml:space="preserve">RTA will monitor </w:t>
      </w:r>
      <w:r w:rsidR="00742D56" w:rsidRPr="000E0652">
        <w:rPr>
          <w:rFonts w:ascii="Arial" w:hAnsi="Arial" w:cs="Arial"/>
          <w:color w:val="000000" w:themeColor="text1"/>
          <w:sz w:val="24"/>
          <w:szCs w:val="24"/>
        </w:rPr>
        <w:t>our subcontractors to ensure that learners have full access to free</w:t>
      </w:r>
      <w:r w:rsidRPr="000E0652">
        <w:rPr>
          <w:rFonts w:ascii="Arial" w:hAnsi="Arial" w:cs="Arial"/>
          <w:color w:val="000000" w:themeColor="text1"/>
          <w:sz w:val="24"/>
          <w:szCs w:val="24"/>
        </w:rPr>
        <w:t xml:space="preserve"> funded education and training including, </w:t>
      </w:r>
      <w:r w:rsidR="00742D56" w:rsidRPr="000E0652">
        <w:rPr>
          <w:rFonts w:ascii="Arial" w:hAnsi="Arial" w:cs="Arial"/>
          <w:color w:val="000000" w:themeColor="text1"/>
          <w:sz w:val="24"/>
          <w:szCs w:val="24"/>
        </w:rPr>
        <w:t>but not limited</w:t>
      </w:r>
      <w:r w:rsidRPr="000E0652">
        <w:rPr>
          <w:rFonts w:ascii="Arial" w:hAnsi="Arial" w:cs="Arial"/>
          <w:color w:val="000000" w:themeColor="text1"/>
          <w:sz w:val="24"/>
          <w:szCs w:val="24"/>
        </w:rPr>
        <w:t xml:space="preserve"> to,</w:t>
      </w:r>
      <w:r w:rsidR="00742D56" w:rsidRPr="000E0652">
        <w:rPr>
          <w:rFonts w:ascii="Arial" w:hAnsi="Arial" w:cs="Arial"/>
          <w:color w:val="000000" w:themeColor="text1"/>
          <w:sz w:val="24"/>
          <w:szCs w:val="24"/>
        </w:rPr>
        <w:t xml:space="preserve"> information about and access to16 to 19 bursary and </w:t>
      </w:r>
      <w:r w:rsidRPr="000E0652">
        <w:rPr>
          <w:rFonts w:ascii="Arial" w:hAnsi="Arial" w:cs="Arial"/>
          <w:color w:val="000000" w:themeColor="text1"/>
          <w:sz w:val="24"/>
          <w:szCs w:val="24"/>
        </w:rPr>
        <w:t>other learner support funding, Information Advice and G</w:t>
      </w:r>
      <w:r w:rsidR="00742D56" w:rsidRPr="000E0652">
        <w:rPr>
          <w:rFonts w:ascii="Arial" w:hAnsi="Arial" w:cs="Arial"/>
          <w:color w:val="000000" w:themeColor="text1"/>
          <w:sz w:val="24"/>
          <w:szCs w:val="24"/>
        </w:rPr>
        <w:t>uidance (IAG) and access to learning support if required.</w:t>
      </w:r>
    </w:p>
    <w:p w14:paraId="6ABF079C" w14:textId="77777777" w:rsidR="00F80C9C" w:rsidRPr="006112EF" w:rsidRDefault="00F80C9C" w:rsidP="00F80C9C">
      <w:pPr>
        <w:pStyle w:val="ListParagraph"/>
        <w:rPr>
          <w:rFonts w:ascii="Arial" w:hAnsi="Arial" w:cs="Arial"/>
          <w:color w:val="000000" w:themeColor="text1"/>
          <w:sz w:val="24"/>
          <w:szCs w:val="24"/>
        </w:rPr>
      </w:pPr>
    </w:p>
    <w:p w14:paraId="11DECEDF" w14:textId="4B82E7E9" w:rsidR="00F80C9C" w:rsidRPr="006112EF" w:rsidRDefault="00F80C9C"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 xml:space="preserve">RTA will reserve the right to exercise the </w:t>
      </w:r>
      <w:r w:rsidR="00742D56" w:rsidRPr="006112EF">
        <w:rPr>
          <w:rFonts w:ascii="Arial" w:hAnsi="Arial" w:cs="Arial"/>
          <w:color w:val="000000" w:themeColor="text1"/>
          <w:sz w:val="24"/>
          <w:szCs w:val="24"/>
        </w:rPr>
        <w:t>following key controls:</w:t>
      </w:r>
    </w:p>
    <w:p w14:paraId="7B8115DF" w14:textId="53E8A317" w:rsidR="00F80C9C" w:rsidRPr="006112EF" w:rsidRDefault="00F80C9C" w:rsidP="00E64427">
      <w:pPr>
        <w:pStyle w:val="ListParagraph"/>
        <w:numPr>
          <w:ilvl w:val="0"/>
          <w:numId w:val="14"/>
        </w:numPr>
        <w:rPr>
          <w:rFonts w:ascii="Arial" w:hAnsi="Arial" w:cs="Arial"/>
          <w:color w:val="000000" w:themeColor="text1"/>
          <w:sz w:val="24"/>
          <w:szCs w:val="24"/>
        </w:rPr>
      </w:pPr>
      <w:r w:rsidRPr="006112EF">
        <w:rPr>
          <w:rFonts w:ascii="Arial" w:hAnsi="Arial" w:cs="Arial"/>
          <w:color w:val="000000" w:themeColor="text1"/>
          <w:sz w:val="24"/>
          <w:szCs w:val="24"/>
        </w:rPr>
        <w:t>To enrol or reject learners as we</w:t>
      </w:r>
      <w:r w:rsidR="00742D56" w:rsidRPr="006112EF">
        <w:rPr>
          <w:rFonts w:ascii="Arial" w:hAnsi="Arial" w:cs="Arial"/>
          <w:color w:val="000000" w:themeColor="text1"/>
          <w:sz w:val="24"/>
          <w:szCs w:val="24"/>
        </w:rPr>
        <w:t xml:space="preserve"> woul</w:t>
      </w:r>
      <w:r w:rsidRPr="006112EF">
        <w:rPr>
          <w:rFonts w:ascii="Arial" w:hAnsi="Arial" w:cs="Arial"/>
          <w:color w:val="000000" w:themeColor="text1"/>
          <w:sz w:val="24"/>
          <w:szCs w:val="24"/>
        </w:rPr>
        <w:t>d</w:t>
      </w:r>
      <w:r w:rsidR="00742D56" w:rsidRPr="006112EF">
        <w:rPr>
          <w:rFonts w:ascii="Arial" w:hAnsi="Arial" w:cs="Arial"/>
          <w:color w:val="000000" w:themeColor="text1"/>
          <w:sz w:val="24"/>
          <w:szCs w:val="24"/>
        </w:rPr>
        <w:t xml:space="preserve"> if the learners were to be </w:t>
      </w:r>
      <w:r w:rsidRPr="006112EF">
        <w:rPr>
          <w:rFonts w:ascii="Arial" w:hAnsi="Arial" w:cs="Arial"/>
          <w:color w:val="000000" w:themeColor="text1"/>
          <w:sz w:val="24"/>
          <w:szCs w:val="24"/>
        </w:rPr>
        <w:t>taught on our own site.</w:t>
      </w:r>
    </w:p>
    <w:p w14:paraId="4C46F2D0" w14:textId="1EC5946E" w:rsidR="00F80C9C" w:rsidRPr="006112EF" w:rsidRDefault="00742D56" w:rsidP="00E64427">
      <w:pPr>
        <w:pStyle w:val="ListParagraph"/>
        <w:numPr>
          <w:ilvl w:val="0"/>
          <w:numId w:val="14"/>
        </w:numPr>
        <w:rPr>
          <w:rFonts w:ascii="Arial" w:hAnsi="Arial" w:cs="Arial"/>
          <w:color w:val="000000" w:themeColor="text1"/>
          <w:sz w:val="24"/>
          <w:szCs w:val="24"/>
        </w:rPr>
      </w:pPr>
      <w:r w:rsidRPr="006112EF">
        <w:rPr>
          <w:rFonts w:ascii="Arial" w:hAnsi="Arial" w:cs="Arial"/>
          <w:color w:val="000000" w:themeColor="text1"/>
          <w:sz w:val="24"/>
          <w:szCs w:val="24"/>
        </w:rPr>
        <w:t xml:space="preserve">Learners sign a learning agreement at the time of enrolment; the agreement must reflect the outcome of initial guidance and assessment for an individual learner and set out their study programme and any learning support to </w:t>
      </w:r>
      <w:r w:rsidR="00F80C9C" w:rsidRPr="006112EF">
        <w:rPr>
          <w:rFonts w:ascii="Arial" w:hAnsi="Arial" w:cs="Arial"/>
          <w:color w:val="000000" w:themeColor="text1"/>
          <w:sz w:val="24"/>
          <w:szCs w:val="24"/>
        </w:rPr>
        <w:t>be provided.</w:t>
      </w:r>
    </w:p>
    <w:p w14:paraId="2CB3C7BC" w14:textId="77777777" w:rsidR="00F80C9C" w:rsidRPr="006112EF" w:rsidRDefault="00742D56" w:rsidP="00E64427">
      <w:pPr>
        <w:pStyle w:val="ListParagraph"/>
        <w:numPr>
          <w:ilvl w:val="0"/>
          <w:numId w:val="14"/>
        </w:numPr>
        <w:rPr>
          <w:rFonts w:ascii="Arial" w:hAnsi="Arial" w:cs="Arial"/>
          <w:color w:val="000000" w:themeColor="text1"/>
          <w:sz w:val="24"/>
          <w:szCs w:val="24"/>
        </w:rPr>
      </w:pPr>
      <w:r w:rsidRPr="006112EF">
        <w:rPr>
          <w:rFonts w:ascii="Arial" w:hAnsi="Arial" w:cs="Arial"/>
          <w:color w:val="000000" w:themeColor="text1"/>
          <w:sz w:val="24"/>
          <w:szCs w:val="24"/>
        </w:rPr>
        <w:lastRenderedPageBreak/>
        <w:t>Learners’ eligibility for funding is confirmed through an enrolment form and/or learning</w:t>
      </w:r>
      <w:r w:rsidR="00F80C9C" w:rsidRPr="006112EF">
        <w:rPr>
          <w:rFonts w:ascii="Arial" w:hAnsi="Arial" w:cs="Arial"/>
          <w:color w:val="000000" w:themeColor="text1"/>
          <w:sz w:val="24"/>
          <w:szCs w:val="24"/>
        </w:rPr>
        <w:t xml:space="preserve"> agreement, which must include </w:t>
      </w:r>
      <w:r w:rsidRPr="006112EF">
        <w:rPr>
          <w:rFonts w:ascii="Arial" w:hAnsi="Arial" w:cs="Arial"/>
          <w:color w:val="000000" w:themeColor="text1"/>
          <w:sz w:val="24"/>
          <w:szCs w:val="24"/>
        </w:rPr>
        <w:t>ou</w:t>
      </w:r>
      <w:r w:rsidR="00F80C9C" w:rsidRPr="006112EF">
        <w:rPr>
          <w:rFonts w:ascii="Arial" w:hAnsi="Arial" w:cs="Arial"/>
          <w:color w:val="000000" w:themeColor="text1"/>
          <w:sz w:val="24"/>
          <w:szCs w:val="24"/>
        </w:rPr>
        <w:t>r name and</w:t>
      </w:r>
      <w:r w:rsidRPr="006112EF">
        <w:rPr>
          <w:rFonts w:ascii="Arial" w:hAnsi="Arial" w:cs="Arial"/>
          <w:color w:val="000000" w:themeColor="text1"/>
          <w:sz w:val="24"/>
          <w:szCs w:val="24"/>
        </w:rPr>
        <w:t xml:space="preserve"> logo and which is signed by the learner at the start of their programme.</w:t>
      </w:r>
    </w:p>
    <w:p w14:paraId="5669A116" w14:textId="77777777" w:rsidR="00F80C9C" w:rsidRPr="006112EF" w:rsidRDefault="00742D56" w:rsidP="00E64427">
      <w:pPr>
        <w:pStyle w:val="ListParagraph"/>
        <w:numPr>
          <w:ilvl w:val="0"/>
          <w:numId w:val="14"/>
        </w:numPr>
        <w:rPr>
          <w:rFonts w:ascii="Arial" w:hAnsi="Arial" w:cs="Arial"/>
          <w:color w:val="000000" w:themeColor="text1"/>
          <w:sz w:val="24"/>
          <w:szCs w:val="24"/>
        </w:rPr>
      </w:pPr>
      <w:r w:rsidRPr="006112EF">
        <w:rPr>
          <w:rFonts w:ascii="Arial" w:hAnsi="Arial" w:cs="Arial"/>
          <w:color w:val="000000" w:themeColor="text1"/>
          <w:sz w:val="24"/>
          <w:szCs w:val="24"/>
        </w:rPr>
        <w:t>A learning programme an</w:t>
      </w:r>
      <w:r w:rsidR="00F80C9C" w:rsidRPr="006112EF">
        <w:rPr>
          <w:rFonts w:ascii="Arial" w:hAnsi="Arial" w:cs="Arial"/>
          <w:color w:val="000000" w:themeColor="text1"/>
          <w:sz w:val="24"/>
          <w:szCs w:val="24"/>
        </w:rPr>
        <w:t>d its means of deliver</w:t>
      </w:r>
      <w:r w:rsidRPr="006112EF">
        <w:rPr>
          <w:rFonts w:ascii="Arial" w:hAnsi="Arial" w:cs="Arial"/>
          <w:color w:val="000000" w:themeColor="text1"/>
          <w:sz w:val="24"/>
          <w:szCs w:val="24"/>
        </w:rPr>
        <w:t xml:space="preserve"> clearly specified </w:t>
      </w:r>
      <w:r w:rsidR="00F80C9C" w:rsidRPr="006112EF">
        <w:rPr>
          <w:rFonts w:ascii="Arial" w:hAnsi="Arial" w:cs="Arial"/>
          <w:color w:val="000000" w:themeColor="text1"/>
          <w:sz w:val="24"/>
          <w:szCs w:val="24"/>
        </w:rPr>
        <w:t>by us</w:t>
      </w:r>
      <w:r w:rsidRPr="006112EF">
        <w:rPr>
          <w:rFonts w:ascii="Arial" w:hAnsi="Arial" w:cs="Arial"/>
          <w:color w:val="000000" w:themeColor="text1"/>
          <w:sz w:val="24"/>
          <w:szCs w:val="24"/>
        </w:rPr>
        <w:t>.</w:t>
      </w:r>
    </w:p>
    <w:p w14:paraId="6F7B82F4" w14:textId="77777777" w:rsidR="00F80C9C" w:rsidRPr="006112EF" w:rsidRDefault="00742D56" w:rsidP="00E64427">
      <w:pPr>
        <w:pStyle w:val="ListParagraph"/>
        <w:numPr>
          <w:ilvl w:val="0"/>
          <w:numId w:val="14"/>
        </w:numPr>
        <w:rPr>
          <w:rFonts w:ascii="Arial" w:hAnsi="Arial" w:cs="Arial"/>
          <w:color w:val="000000" w:themeColor="text1"/>
          <w:sz w:val="24"/>
          <w:szCs w:val="24"/>
        </w:rPr>
      </w:pPr>
      <w:r w:rsidRPr="006112EF">
        <w:rPr>
          <w:rFonts w:ascii="Arial" w:hAnsi="Arial" w:cs="Arial"/>
          <w:color w:val="000000" w:themeColor="text1"/>
          <w:sz w:val="24"/>
          <w:szCs w:val="24"/>
        </w:rPr>
        <w:t>There are arrangements for assessing the progress of individual learners.</w:t>
      </w:r>
    </w:p>
    <w:p w14:paraId="411B01C9" w14:textId="4E72C269" w:rsidR="00692502" w:rsidRPr="006112EF" w:rsidRDefault="00742D56" w:rsidP="00E64427">
      <w:pPr>
        <w:pStyle w:val="ListParagraph"/>
        <w:numPr>
          <w:ilvl w:val="0"/>
          <w:numId w:val="14"/>
        </w:numPr>
        <w:rPr>
          <w:rFonts w:ascii="Arial" w:hAnsi="Arial" w:cs="Arial"/>
          <w:color w:val="000000" w:themeColor="text1"/>
          <w:sz w:val="24"/>
          <w:szCs w:val="24"/>
        </w:rPr>
      </w:pPr>
      <w:r w:rsidRPr="006112EF">
        <w:rPr>
          <w:rFonts w:ascii="Arial" w:hAnsi="Arial" w:cs="Arial"/>
          <w:color w:val="000000" w:themeColor="text1"/>
          <w:sz w:val="24"/>
          <w:szCs w:val="24"/>
        </w:rPr>
        <w:t>There are proc</w:t>
      </w:r>
      <w:r w:rsidR="00F80C9C" w:rsidRPr="006112EF">
        <w:rPr>
          <w:rFonts w:ascii="Arial" w:hAnsi="Arial" w:cs="Arial"/>
          <w:color w:val="000000" w:themeColor="text1"/>
          <w:sz w:val="24"/>
          <w:szCs w:val="24"/>
        </w:rPr>
        <w:t>edures for RTA</w:t>
      </w:r>
      <w:r w:rsidRPr="006112EF">
        <w:rPr>
          <w:rFonts w:ascii="Arial" w:hAnsi="Arial" w:cs="Arial"/>
          <w:color w:val="000000" w:themeColor="text1"/>
          <w:sz w:val="24"/>
          <w:szCs w:val="24"/>
        </w:rPr>
        <w:t xml:space="preserve"> to regularly monitor the delivery of </w:t>
      </w:r>
      <w:r w:rsidR="00F80C9C" w:rsidRPr="006112EF">
        <w:rPr>
          <w:rFonts w:ascii="Arial" w:hAnsi="Arial" w:cs="Arial"/>
          <w:color w:val="000000" w:themeColor="text1"/>
          <w:sz w:val="24"/>
          <w:szCs w:val="24"/>
        </w:rPr>
        <w:t xml:space="preserve">programmes provided in </w:t>
      </w:r>
      <w:r w:rsidRPr="006112EF">
        <w:rPr>
          <w:rFonts w:ascii="Arial" w:hAnsi="Arial" w:cs="Arial"/>
          <w:color w:val="000000" w:themeColor="text1"/>
          <w:sz w:val="24"/>
          <w:szCs w:val="24"/>
        </w:rPr>
        <w:t>our name throughout the period of the programme.</w:t>
      </w:r>
    </w:p>
    <w:p w14:paraId="2399275D" w14:textId="77777777" w:rsidR="00FB4E17" w:rsidRPr="006112EF" w:rsidRDefault="00FB4E17" w:rsidP="00FB4E17">
      <w:pPr>
        <w:pStyle w:val="ListParagraph"/>
        <w:ind w:left="1440"/>
        <w:rPr>
          <w:rFonts w:ascii="Arial" w:hAnsi="Arial" w:cs="Arial"/>
          <w:color w:val="000000" w:themeColor="text1"/>
          <w:sz w:val="24"/>
          <w:szCs w:val="24"/>
        </w:rPr>
      </w:pPr>
    </w:p>
    <w:p w14:paraId="35B45E01" w14:textId="77777777" w:rsidR="005B418B" w:rsidRPr="006112EF" w:rsidRDefault="00692502"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RTA will ensure that we</w:t>
      </w:r>
      <w:r w:rsidR="00742D56" w:rsidRPr="006112EF">
        <w:rPr>
          <w:rFonts w:ascii="Arial" w:hAnsi="Arial" w:cs="Arial"/>
          <w:color w:val="000000" w:themeColor="text1"/>
          <w:sz w:val="24"/>
          <w:szCs w:val="24"/>
        </w:rPr>
        <w:t xml:space="preserve"> are the only provider that is claiming funding for the </w:t>
      </w:r>
      <w:r w:rsidRPr="006112EF">
        <w:rPr>
          <w:rFonts w:ascii="Arial" w:hAnsi="Arial" w:cs="Arial"/>
          <w:color w:val="000000" w:themeColor="text1"/>
          <w:sz w:val="24"/>
          <w:szCs w:val="24"/>
        </w:rPr>
        <w:t>learners that we are claiming funding for and that learners are</w:t>
      </w:r>
      <w:r w:rsidR="00742D56" w:rsidRPr="006112EF">
        <w:rPr>
          <w:rFonts w:ascii="Arial" w:hAnsi="Arial" w:cs="Arial"/>
          <w:color w:val="000000" w:themeColor="text1"/>
          <w:sz w:val="24"/>
          <w:szCs w:val="24"/>
        </w:rPr>
        <w:t xml:space="preserve"> not be enrolled at more than one lead provider.</w:t>
      </w:r>
    </w:p>
    <w:p w14:paraId="5019C9DC" w14:textId="77777777" w:rsidR="005B418B" w:rsidRPr="006112EF" w:rsidRDefault="005B418B" w:rsidP="005B418B">
      <w:pPr>
        <w:pStyle w:val="ListParagraph"/>
        <w:rPr>
          <w:rFonts w:ascii="Arial" w:hAnsi="Arial" w:cs="Arial"/>
          <w:color w:val="000000" w:themeColor="text1"/>
          <w:sz w:val="24"/>
          <w:szCs w:val="24"/>
        </w:rPr>
      </w:pPr>
    </w:p>
    <w:p w14:paraId="740F7122" w14:textId="12E32DCB" w:rsidR="005B418B" w:rsidRPr="00C86303" w:rsidRDefault="005B418B"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 xml:space="preserve">As the lead provider RTA will </w:t>
      </w:r>
      <w:r w:rsidR="00742D56" w:rsidRPr="006112EF">
        <w:rPr>
          <w:rFonts w:ascii="Arial" w:hAnsi="Arial" w:cs="Arial"/>
          <w:color w:val="000000" w:themeColor="text1"/>
          <w:sz w:val="24"/>
          <w:szCs w:val="24"/>
        </w:rPr>
        <w:t xml:space="preserve">claim all the funding for a funded learner. When </w:t>
      </w:r>
      <w:r w:rsidR="00742D56" w:rsidRPr="00C86303">
        <w:rPr>
          <w:rFonts w:ascii="Arial" w:hAnsi="Arial" w:cs="Arial"/>
          <w:color w:val="000000" w:themeColor="text1"/>
          <w:sz w:val="24"/>
          <w:szCs w:val="24"/>
        </w:rPr>
        <w:t>a</w:t>
      </w:r>
      <w:r w:rsidR="00721C4B" w:rsidRPr="00C86303">
        <w:rPr>
          <w:rFonts w:ascii="Arial" w:hAnsi="Arial" w:cs="Arial"/>
          <w:color w:val="000000" w:themeColor="text1"/>
          <w:sz w:val="24"/>
          <w:szCs w:val="24"/>
        </w:rPr>
        <w:t xml:space="preserve"> </w:t>
      </w:r>
      <w:r w:rsidR="00742D56" w:rsidRPr="00C86303">
        <w:rPr>
          <w:rFonts w:ascii="Arial" w:hAnsi="Arial" w:cs="Arial"/>
          <w:color w:val="000000" w:themeColor="text1"/>
          <w:sz w:val="24"/>
          <w:szCs w:val="24"/>
        </w:rPr>
        <w:t xml:space="preserve">learner is attending different lead providers for different components of their programme </w:t>
      </w:r>
      <w:r w:rsidRPr="00C86303">
        <w:rPr>
          <w:rFonts w:ascii="Arial" w:hAnsi="Arial" w:cs="Arial"/>
          <w:color w:val="000000" w:themeColor="text1"/>
          <w:sz w:val="24"/>
          <w:szCs w:val="24"/>
        </w:rPr>
        <w:t>of study RTA will</w:t>
      </w:r>
      <w:r w:rsidR="00742D56" w:rsidRPr="00C86303">
        <w:rPr>
          <w:rFonts w:ascii="Arial" w:hAnsi="Arial" w:cs="Arial"/>
          <w:color w:val="000000" w:themeColor="text1"/>
          <w:sz w:val="24"/>
          <w:szCs w:val="24"/>
        </w:rPr>
        <w:t xml:space="preserve"> record all these compon</w:t>
      </w:r>
      <w:r w:rsidRPr="00C86303">
        <w:rPr>
          <w:rFonts w:ascii="Arial" w:hAnsi="Arial" w:cs="Arial"/>
          <w:color w:val="000000" w:themeColor="text1"/>
          <w:sz w:val="24"/>
          <w:szCs w:val="24"/>
        </w:rPr>
        <w:t>ents and indicate on the ILR</w:t>
      </w:r>
      <w:r w:rsidR="00742D56" w:rsidRPr="00C86303">
        <w:rPr>
          <w:rFonts w:ascii="Arial" w:hAnsi="Arial" w:cs="Arial"/>
          <w:color w:val="000000" w:themeColor="text1"/>
          <w:sz w:val="24"/>
          <w:szCs w:val="24"/>
        </w:rPr>
        <w:t xml:space="preserve"> which elements are delivered via</w:t>
      </w:r>
      <w:r w:rsidR="00721C4B" w:rsidRPr="00C86303">
        <w:rPr>
          <w:rFonts w:ascii="Arial" w:hAnsi="Arial" w:cs="Arial"/>
          <w:color w:val="000000" w:themeColor="text1"/>
          <w:sz w:val="24"/>
          <w:szCs w:val="24"/>
        </w:rPr>
        <w:t xml:space="preserve"> a subcontracting arrangement. </w:t>
      </w:r>
    </w:p>
    <w:p w14:paraId="7287504C" w14:textId="77777777" w:rsidR="005B418B" w:rsidRPr="006112EF" w:rsidRDefault="005B418B" w:rsidP="005B418B">
      <w:pPr>
        <w:pStyle w:val="ListParagraph"/>
        <w:rPr>
          <w:rFonts w:ascii="Arial" w:hAnsi="Arial" w:cs="Arial"/>
          <w:color w:val="000000" w:themeColor="text1"/>
          <w:sz w:val="24"/>
          <w:szCs w:val="24"/>
        </w:rPr>
      </w:pPr>
    </w:p>
    <w:p w14:paraId="0D710A9E" w14:textId="4AA6BC70" w:rsidR="000E6648" w:rsidRDefault="008003A6" w:rsidP="00E64427">
      <w:pPr>
        <w:pStyle w:val="ListParagraph"/>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Ensure that contracts with any subcontractors enable RTA to take appropriate action in line with the funding higher risk organisations policy, not only if RTA deems it is necessary, but also where the Department requires RTA to take appropriate action.</w:t>
      </w:r>
    </w:p>
    <w:p w14:paraId="2A12D6B0" w14:textId="77777777" w:rsidR="000E0652" w:rsidRPr="000E0652" w:rsidRDefault="000E0652" w:rsidP="000E0652">
      <w:pPr>
        <w:pStyle w:val="ListParagraph"/>
        <w:rPr>
          <w:rFonts w:ascii="Arial" w:hAnsi="Arial" w:cs="Arial"/>
          <w:color w:val="000000" w:themeColor="text1"/>
          <w:sz w:val="24"/>
          <w:szCs w:val="24"/>
        </w:rPr>
      </w:pPr>
    </w:p>
    <w:p w14:paraId="261260A8" w14:textId="2E574B15" w:rsidR="000E0652" w:rsidRPr="000E0652" w:rsidRDefault="000E0652" w:rsidP="00E64427">
      <w:pPr>
        <w:pStyle w:val="ListParagraph"/>
        <w:numPr>
          <w:ilvl w:val="0"/>
          <w:numId w:val="13"/>
        </w:numPr>
        <w:rPr>
          <w:rFonts w:ascii="Arial" w:hAnsi="Arial" w:cs="Arial"/>
          <w:color w:val="000000" w:themeColor="text1"/>
          <w:sz w:val="24"/>
          <w:szCs w:val="24"/>
        </w:rPr>
      </w:pPr>
      <w:r w:rsidRPr="000E0652">
        <w:rPr>
          <w:rFonts w:ascii="Arial" w:hAnsi="Arial" w:cs="Arial"/>
          <w:color w:val="000000" w:themeColor="text1"/>
          <w:sz w:val="24"/>
          <w:szCs w:val="24"/>
        </w:rPr>
        <w:t>A requirement for the subcontractor to inform RTA of any changes which impact on its ability to meet the due diligence or financial health/require standards required and that RTA may as a result be required to terminate the subcontract with them.</w:t>
      </w:r>
    </w:p>
    <w:p w14:paraId="3E1FF609" w14:textId="452D0EFD" w:rsidR="00FE599D" w:rsidRPr="006112EF" w:rsidRDefault="00CF47FA" w:rsidP="00E64427">
      <w:pPr>
        <w:pStyle w:val="NoSpacing"/>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 xml:space="preserve">RTA may terminate the contract in any of the following instances. </w:t>
      </w:r>
    </w:p>
    <w:p w14:paraId="3B762407" w14:textId="77777777" w:rsidR="00FE599D" w:rsidRPr="006112EF" w:rsidRDefault="00CF47FA" w:rsidP="00E64427">
      <w:pPr>
        <w:pStyle w:val="NoSpacing"/>
        <w:numPr>
          <w:ilvl w:val="0"/>
          <w:numId w:val="17"/>
        </w:numPr>
        <w:rPr>
          <w:rFonts w:ascii="Arial" w:hAnsi="Arial" w:cs="Arial"/>
          <w:color w:val="000000" w:themeColor="text1"/>
          <w:sz w:val="24"/>
          <w:szCs w:val="24"/>
        </w:rPr>
      </w:pPr>
      <w:r w:rsidRPr="006112EF">
        <w:rPr>
          <w:rFonts w:ascii="Arial" w:hAnsi="Arial" w:cs="Arial"/>
          <w:color w:val="000000" w:themeColor="text1"/>
          <w:sz w:val="24"/>
          <w:szCs w:val="24"/>
        </w:rPr>
        <w:t>T</w:t>
      </w:r>
      <w:r w:rsidR="000E6648" w:rsidRPr="006112EF">
        <w:rPr>
          <w:rFonts w:ascii="Arial" w:hAnsi="Arial" w:cs="Arial"/>
          <w:color w:val="000000" w:themeColor="text1"/>
          <w:sz w:val="24"/>
          <w:szCs w:val="24"/>
        </w:rPr>
        <w:t>he subcontr</w:t>
      </w:r>
      <w:r w:rsidR="00E648D4" w:rsidRPr="006112EF">
        <w:rPr>
          <w:rFonts w:ascii="Arial" w:hAnsi="Arial" w:cs="Arial"/>
          <w:color w:val="000000" w:themeColor="text1"/>
          <w:sz w:val="24"/>
          <w:szCs w:val="24"/>
        </w:rPr>
        <w:t>actor fail</w:t>
      </w:r>
      <w:r w:rsidRPr="006112EF">
        <w:rPr>
          <w:rFonts w:ascii="Arial" w:hAnsi="Arial" w:cs="Arial"/>
          <w:color w:val="000000" w:themeColor="text1"/>
          <w:sz w:val="24"/>
          <w:szCs w:val="24"/>
        </w:rPr>
        <w:t>s</w:t>
      </w:r>
      <w:r w:rsidR="00E648D4" w:rsidRPr="006112EF">
        <w:rPr>
          <w:rFonts w:ascii="Arial" w:hAnsi="Arial" w:cs="Arial"/>
          <w:color w:val="000000" w:themeColor="text1"/>
          <w:sz w:val="24"/>
          <w:szCs w:val="24"/>
        </w:rPr>
        <w:t xml:space="preserve"> to meet </w:t>
      </w:r>
      <w:r w:rsidR="000E6648" w:rsidRPr="006112EF">
        <w:rPr>
          <w:rFonts w:ascii="Arial" w:hAnsi="Arial" w:cs="Arial"/>
          <w:color w:val="000000" w:themeColor="text1"/>
          <w:sz w:val="24"/>
          <w:szCs w:val="24"/>
        </w:rPr>
        <w:t>du</w:t>
      </w:r>
      <w:r w:rsidR="00E648D4" w:rsidRPr="006112EF">
        <w:rPr>
          <w:rFonts w:ascii="Arial" w:hAnsi="Arial" w:cs="Arial"/>
          <w:color w:val="000000" w:themeColor="text1"/>
          <w:sz w:val="24"/>
          <w:szCs w:val="24"/>
        </w:rPr>
        <w:t xml:space="preserve">e diligence or financial health </w:t>
      </w:r>
      <w:r w:rsidR="000E6648" w:rsidRPr="006112EF">
        <w:rPr>
          <w:rFonts w:ascii="Arial" w:hAnsi="Arial" w:cs="Arial"/>
          <w:color w:val="000000" w:themeColor="text1"/>
          <w:sz w:val="24"/>
          <w:szCs w:val="24"/>
        </w:rPr>
        <w:t>requirements/standards</w:t>
      </w:r>
      <w:r w:rsidRPr="006112EF">
        <w:rPr>
          <w:rFonts w:ascii="Arial" w:hAnsi="Arial" w:cs="Arial"/>
          <w:color w:val="000000" w:themeColor="text1"/>
          <w:sz w:val="24"/>
          <w:szCs w:val="24"/>
        </w:rPr>
        <w:t>.</w:t>
      </w:r>
    </w:p>
    <w:p w14:paraId="732A4D39" w14:textId="77777777" w:rsidR="00FE599D" w:rsidRPr="006112EF" w:rsidRDefault="00CF47FA" w:rsidP="00E64427">
      <w:pPr>
        <w:pStyle w:val="NoSpacing"/>
        <w:numPr>
          <w:ilvl w:val="0"/>
          <w:numId w:val="17"/>
        </w:numPr>
        <w:rPr>
          <w:rFonts w:ascii="Arial" w:hAnsi="Arial" w:cs="Arial"/>
          <w:color w:val="000000" w:themeColor="text1"/>
          <w:sz w:val="24"/>
          <w:szCs w:val="24"/>
        </w:rPr>
      </w:pPr>
      <w:r w:rsidRPr="006112EF">
        <w:rPr>
          <w:rFonts w:ascii="Arial" w:hAnsi="Arial" w:cs="Arial"/>
          <w:color w:val="000000" w:themeColor="text1"/>
          <w:sz w:val="24"/>
          <w:szCs w:val="24"/>
        </w:rPr>
        <w:t>The subcontractor falling into liquidation or administration.</w:t>
      </w:r>
    </w:p>
    <w:p w14:paraId="687FA148" w14:textId="3F0EC77A" w:rsidR="00FE599D" w:rsidRPr="006112EF" w:rsidRDefault="00FE599D" w:rsidP="00E64427">
      <w:pPr>
        <w:pStyle w:val="NoSpacing"/>
        <w:numPr>
          <w:ilvl w:val="0"/>
          <w:numId w:val="17"/>
        </w:numPr>
        <w:rPr>
          <w:rFonts w:ascii="Arial" w:hAnsi="Arial" w:cs="Arial"/>
          <w:color w:val="000000" w:themeColor="text1"/>
          <w:sz w:val="24"/>
          <w:szCs w:val="24"/>
        </w:rPr>
      </w:pPr>
      <w:r w:rsidRPr="006112EF">
        <w:rPr>
          <w:rFonts w:ascii="Arial" w:hAnsi="Arial" w:cs="Arial"/>
          <w:color w:val="000000" w:themeColor="text1"/>
          <w:sz w:val="24"/>
          <w:szCs w:val="24"/>
        </w:rPr>
        <w:t>The subcontractor fails to meet safeguarding requirements.</w:t>
      </w:r>
    </w:p>
    <w:p w14:paraId="51290A1A" w14:textId="77777777" w:rsidR="00FE599D" w:rsidRPr="006112EF" w:rsidRDefault="0027243E" w:rsidP="00E64427">
      <w:pPr>
        <w:pStyle w:val="NoSpacing"/>
        <w:numPr>
          <w:ilvl w:val="0"/>
          <w:numId w:val="17"/>
        </w:numPr>
        <w:rPr>
          <w:rFonts w:ascii="Arial" w:hAnsi="Arial" w:cs="Arial"/>
          <w:color w:val="000000" w:themeColor="text1"/>
          <w:sz w:val="24"/>
          <w:szCs w:val="24"/>
        </w:rPr>
      </w:pPr>
      <w:r w:rsidRPr="006112EF">
        <w:rPr>
          <w:rFonts w:ascii="Arial" w:hAnsi="Arial" w:cs="Arial"/>
          <w:color w:val="000000" w:themeColor="text1"/>
          <w:sz w:val="24"/>
          <w:szCs w:val="24"/>
        </w:rPr>
        <w:t>Evidence of consistently poor teaching, learning and assessment and a failu</w:t>
      </w:r>
      <w:r w:rsidR="00CF47FA" w:rsidRPr="006112EF">
        <w:rPr>
          <w:rFonts w:ascii="Arial" w:hAnsi="Arial" w:cs="Arial"/>
          <w:color w:val="000000" w:themeColor="text1"/>
          <w:sz w:val="24"/>
          <w:szCs w:val="24"/>
        </w:rPr>
        <w:t>re of the subcontractor failing</w:t>
      </w:r>
      <w:r w:rsidRPr="006112EF">
        <w:rPr>
          <w:rFonts w:ascii="Arial" w:hAnsi="Arial" w:cs="Arial"/>
          <w:color w:val="000000" w:themeColor="text1"/>
          <w:sz w:val="24"/>
          <w:szCs w:val="24"/>
        </w:rPr>
        <w:t xml:space="preserve"> to address this despite </w:t>
      </w:r>
      <w:r w:rsidR="00CF47FA" w:rsidRPr="006112EF">
        <w:rPr>
          <w:rFonts w:ascii="Arial" w:hAnsi="Arial" w:cs="Arial"/>
          <w:color w:val="000000" w:themeColor="text1"/>
          <w:sz w:val="24"/>
          <w:szCs w:val="24"/>
        </w:rPr>
        <w:t>ongoing support from RTA</w:t>
      </w:r>
      <w:r w:rsidR="00FE599D" w:rsidRPr="006112EF">
        <w:rPr>
          <w:rFonts w:ascii="Arial" w:hAnsi="Arial" w:cs="Arial"/>
          <w:color w:val="000000" w:themeColor="text1"/>
          <w:sz w:val="24"/>
          <w:szCs w:val="24"/>
        </w:rPr>
        <w:t>.</w:t>
      </w:r>
    </w:p>
    <w:p w14:paraId="2A655B27" w14:textId="30635E01" w:rsidR="0027243E" w:rsidRDefault="0027243E" w:rsidP="00E64427">
      <w:pPr>
        <w:pStyle w:val="NoSpacing"/>
        <w:numPr>
          <w:ilvl w:val="0"/>
          <w:numId w:val="17"/>
        </w:numPr>
        <w:rPr>
          <w:rFonts w:ascii="Arial" w:hAnsi="Arial" w:cs="Arial"/>
          <w:color w:val="000000" w:themeColor="text1"/>
          <w:sz w:val="24"/>
          <w:szCs w:val="24"/>
        </w:rPr>
      </w:pPr>
      <w:r w:rsidRPr="006112EF">
        <w:rPr>
          <w:rFonts w:ascii="Arial" w:hAnsi="Arial" w:cs="Arial"/>
          <w:color w:val="000000" w:themeColor="text1"/>
          <w:sz w:val="24"/>
          <w:szCs w:val="24"/>
        </w:rPr>
        <w:t xml:space="preserve">An Education Skills Funding Agency notice of concern. </w:t>
      </w:r>
    </w:p>
    <w:p w14:paraId="7E829141" w14:textId="77777777" w:rsidR="000E0652" w:rsidRDefault="000E0652" w:rsidP="000E0652">
      <w:pPr>
        <w:pStyle w:val="NoSpacing"/>
        <w:rPr>
          <w:rFonts w:ascii="Arial" w:hAnsi="Arial" w:cs="Arial"/>
          <w:color w:val="000000" w:themeColor="text1"/>
          <w:sz w:val="24"/>
          <w:szCs w:val="24"/>
        </w:rPr>
      </w:pPr>
    </w:p>
    <w:p w14:paraId="3BA54914" w14:textId="77777777" w:rsidR="00CD5476" w:rsidRDefault="000E0652" w:rsidP="00E64427">
      <w:pPr>
        <w:pStyle w:val="NoSpacing"/>
        <w:numPr>
          <w:ilvl w:val="0"/>
          <w:numId w:val="13"/>
        </w:numPr>
        <w:rPr>
          <w:rFonts w:ascii="Arial" w:hAnsi="Arial" w:cs="Arial"/>
          <w:color w:val="000000" w:themeColor="text1"/>
          <w:sz w:val="24"/>
          <w:szCs w:val="24"/>
        </w:rPr>
      </w:pPr>
      <w:r w:rsidRPr="000E0652">
        <w:rPr>
          <w:rFonts w:ascii="Arial" w:hAnsi="Arial" w:cs="Arial"/>
          <w:color w:val="000000" w:themeColor="text1"/>
          <w:sz w:val="24"/>
          <w:szCs w:val="24"/>
        </w:rPr>
        <w:t xml:space="preserve">A requirement for the subcontractor to co-operate with RTA, should the </w:t>
      </w:r>
    </w:p>
    <w:p w14:paraId="7705C5D2" w14:textId="737BDB12" w:rsidR="00CD5476" w:rsidRDefault="00CD5476" w:rsidP="00CD5476">
      <w:pPr>
        <w:pStyle w:val="NoSpacing"/>
        <w:rPr>
          <w:rFonts w:ascii="Arial" w:hAnsi="Arial" w:cs="Arial"/>
          <w:color w:val="000000" w:themeColor="text1"/>
          <w:sz w:val="24"/>
          <w:szCs w:val="24"/>
        </w:rPr>
      </w:pPr>
      <w:r>
        <w:rPr>
          <w:rFonts w:ascii="Arial" w:hAnsi="Arial" w:cs="Arial"/>
          <w:color w:val="000000" w:themeColor="text1"/>
          <w:sz w:val="24"/>
          <w:szCs w:val="24"/>
        </w:rPr>
        <w:t xml:space="preserve">           </w:t>
      </w:r>
      <w:r w:rsidR="000E0652" w:rsidRPr="000E0652">
        <w:rPr>
          <w:rFonts w:ascii="Arial" w:hAnsi="Arial" w:cs="Arial"/>
          <w:color w:val="000000" w:themeColor="text1"/>
          <w:sz w:val="24"/>
          <w:szCs w:val="24"/>
        </w:rPr>
        <w:t>subcontract end for any reason, to make s</w:t>
      </w:r>
      <w:r>
        <w:rPr>
          <w:rFonts w:ascii="Arial" w:hAnsi="Arial" w:cs="Arial"/>
          <w:color w:val="000000" w:themeColor="text1"/>
          <w:sz w:val="24"/>
          <w:szCs w:val="24"/>
        </w:rPr>
        <w:t>ure that there is continuity of</w:t>
      </w:r>
    </w:p>
    <w:p w14:paraId="720B6A83" w14:textId="46EEDF7E" w:rsidR="000E0652" w:rsidRPr="006112EF" w:rsidRDefault="00CD5476" w:rsidP="00CD5476">
      <w:pPr>
        <w:pStyle w:val="NoSpacing"/>
        <w:rPr>
          <w:rFonts w:ascii="Arial" w:hAnsi="Arial" w:cs="Arial"/>
          <w:color w:val="000000" w:themeColor="text1"/>
          <w:sz w:val="24"/>
          <w:szCs w:val="24"/>
        </w:rPr>
      </w:pPr>
      <w:r>
        <w:rPr>
          <w:rFonts w:ascii="Arial" w:hAnsi="Arial" w:cs="Arial"/>
          <w:color w:val="000000" w:themeColor="text1"/>
          <w:sz w:val="24"/>
          <w:szCs w:val="24"/>
        </w:rPr>
        <w:t xml:space="preserve">           </w:t>
      </w:r>
      <w:r w:rsidR="000E0652" w:rsidRPr="000E0652">
        <w:rPr>
          <w:rFonts w:ascii="Arial" w:hAnsi="Arial" w:cs="Arial"/>
          <w:color w:val="000000" w:themeColor="text1"/>
          <w:sz w:val="24"/>
          <w:szCs w:val="24"/>
        </w:rPr>
        <w:t>learning.</w:t>
      </w:r>
    </w:p>
    <w:p w14:paraId="6F1A2899" w14:textId="77777777" w:rsidR="00FE599D" w:rsidRPr="006112EF" w:rsidRDefault="00FE599D" w:rsidP="00FE599D">
      <w:pPr>
        <w:pStyle w:val="NoSpacing"/>
        <w:ind w:left="1440"/>
        <w:rPr>
          <w:rFonts w:ascii="Arial" w:hAnsi="Arial" w:cs="Arial"/>
          <w:color w:val="000000" w:themeColor="text1"/>
          <w:sz w:val="24"/>
          <w:szCs w:val="24"/>
        </w:rPr>
      </w:pPr>
    </w:p>
    <w:p w14:paraId="5500CA00" w14:textId="7DC48318" w:rsidR="00CD5476" w:rsidRPr="009A2941" w:rsidRDefault="00E8585E" w:rsidP="00E64427">
      <w:pPr>
        <w:pStyle w:val="NoSpacing"/>
        <w:numPr>
          <w:ilvl w:val="0"/>
          <w:numId w:val="13"/>
        </w:numPr>
        <w:rPr>
          <w:rFonts w:ascii="Arial" w:hAnsi="Arial" w:cs="Arial"/>
          <w:color w:val="000000" w:themeColor="text1"/>
          <w:sz w:val="24"/>
          <w:szCs w:val="24"/>
        </w:rPr>
      </w:pPr>
      <w:r w:rsidRPr="006112EF">
        <w:rPr>
          <w:rFonts w:ascii="Arial" w:hAnsi="Arial" w:cs="Arial"/>
          <w:color w:val="000000" w:themeColor="text1"/>
          <w:sz w:val="24"/>
          <w:szCs w:val="24"/>
        </w:rPr>
        <w:t xml:space="preserve">All </w:t>
      </w:r>
      <w:r w:rsidR="00464F61" w:rsidRPr="006112EF">
        <w:rPr>
          <w:rFonts w:ascii="Arial" w:hAnsi="Arial" w:cs="Arial"/>
          <w:color w:val="000000" w:themeColor="text1"/>
          <w:sz w:val="24"/>
          <w:szCs w:val="24"/>
        </w:rPr>
        <w:t>contracts entered in will b</w:t>
      </w:r>
      <w:r w:rsidR="006112EF">
        <w:rPr>
          <w:rFonts w:ascii="Arial" w:hAnsi="Arial" w:cs="Arial"/>
          <w:color w:val="000000" w:themeColor="text1"/>
          <w:sz w:val="24"/>
          <w:szCs w:val="24"/>
        </w:rPr>
        <w:t xml:space="preserve">e signed by the Chief Executive of RTA. Contracts will be renewed annually where RTA considers this to be appropriate. </w:t>
      </w:r>
    </w:p>
    <w:p w14:paraId="0D1D39B6" w14:textId="1CC281C1" w:rsidR="00F20224" w:rsidRDefault="00464F61" w:rsidP="008F167A">
      <w:pPr>
        <w:rPr>
          <w:rFonts w:ascii="Arial" w:hAnsi="Arial" w:cs="Arial"/>
          <w:b/>
          <w:sz w:val="24"/>
          <w:szCs w:val="24"/>
        </w:rPr>
      </w:pPr>
      <w:r>
        <w:rPr>
          <w:rFonts w:ascii="Arial" w:hAnsi="Arial" w:cs="Arial"/>
          <w:b/>
          <w:sz w:val="24"/>
          <w:szCs w:val="24"/>
        </w:rPr>
        <w:lastRenderedPageBreak/>
        <w:t>7</w:t>
      </w:r>
      <w:r w:rsidR="003C0E2D">
        <w:rPr>
          <w:rFonts w:ascii="Arial" w:hAnsi="Arial" w:cs="Arial"/>
          <w:b/>
          <w:sz w:val="24"/>
          <w:szCs w:val="24"/>
        </w:rPr>
        <w:t xml:space="preserve">. </w:t>
      </w:r>
      <w:r w:rsidR="00F20224">
        <w:rPr>
          <w:rFonts w:ascii="Arial" w:hAnsi="Arial" w:cs="Arial"/>
          <w:b/>
          <w:sz w:val="24"/>
          <w:szCs w:val="24"/>
        </w:rPr>
        <w:t>Quality Assurance and Risk Management</w:t>
      </w:r>
    </w:p>
    <w:p w14:paraId="03BE50A5" w14:textId="6C3D3A6E" w:rsidR="000F08A3" w:rsidRPr="006112EF" w:rsidRDefault="006112EF" w:rsidP="000F08A3">
      <w:pPr>
        <w:rPr>
          <w:rFonts w:ascii="Arial" w:hAnsi="Arial" w:cs="Arial"/>
          <w:sz w:val="24"/>
          <w:szCs w:val="24"/>
        </w:rPr>
      </w:pPr>
      <w:r w:rsidRPr="006112EF">
        <w:rPr>
          <w:rFonts w:ascii="Arial" w:hAnsi="Arial" w:cs="Arial"/>
          <w:sz w:val="24"/>
          <w:szCs w:val="24"/>
        </w:rPr>
        <w:t>RTA</w:t>
      </w:r>
      <w:r w:rsidR="005B418B" w:rsidRPr="006112EF">
        <w:rPr>
          <w:rFonts w:ascii="Arial" w:hAnsi="Arial" w:cs="Arial"/>
          <w:sz w:val="24"/>
          <w:szCs w:val="24"/>
        </w:rPr>
        <w:t xml:space="preserve"> will ensure that</w:t>
      </w:r>
      <w:r w:rsidR="000F08A3" w:rsidRPr="006112EF">
        <w:rPr>
          <w:rFonts w:ascii="Arial" w:hAnsi="Arial" w:cs="Arial"/>
          <w:sz w:val="24"/>
          <w:szCs w:val="24"/>
        </w:rPr>
        <w:t xml:space="preserve"> </w:t>
      </w:r>
      <w:r w:rsidR="005B418B" w:rsidRPr="006112EF">
        <w:rPr>
          <w:rFonts w:ascii="Arial" w:hAnsi="Arial" w:cs="Arial"/>
          <w:sz w:val="24"/>
          <w:szCs w:val="24"/>
        </w:rPr>
        <w:t xml:space="preserve">any </w:t>
      </w:r>
      <w:r w:rsidR="00317110" w:rsidRPr="006112EF">
        <w:rPr>
          <w:rFonts w:ascii="Arial" w:hAnsi="Arial" w:cs="Arial"/>
          <w:sz w:val="24"/>
          <w:szCs w:val="24"/>
        </w:rPr>
        <w:t>staffs with a direct or indirect financial interest in the subcontractor do</w:t>
      </w:r>
      <w:r w:rsidR="005B418B" w:rsidRPr="006112EF">
        <w:rPr>
          <w:rFonts w:ascii="Arial" w:hAnsi="Arial" w:cs="Arial"/>
          <w:sz w:val="24"/>
          <w:szCs w:val="24"/>
        </w:rPr>
        <w:t xml:space="preserve"> not</w:t>
      </w:r>
      <w:r w:rsidR="000F08A3" w:rsidRPr="006112EF">
        <w:rPr>
          <w:rFonts w:ascii="Arial" w:hAnsi="Arial" w:cs="Arial"/>
          <w:sz w:val="24"/>
          <w:szCs w:val="24"/>
        </w:rPr>
        <w:t xml:space="preserve"> undertake any management control activities</w:t>
      </w:r>
      <w:r w:rsidR="00715C46" w:rsidRPr="006112EF">
        <w:rPr>
          <w:rFonts w:ascii="Arial" w:hAnsi="Arial" w:cs="Arial"/>
          <w:sz w:val="24"/>
          <w:szCs w:val="24"/>
        </w:rPr>
        <w:t>.</w:t>
      </w:r>
      <w:r w:rsidR="000F08A3" w:rsidRPr="006112EF">
        <w:rPr>
          <w:rFonts w:ascii="Arial" w:hAnsi="Arial" w:cs="Arial"/>
          <w:sz w:val="24"/>
          <w:szCs w:val="24"/>
        </w:rPr>
        <w:t xml:space="preserve"> This includes signing time sheets or invoices, as well as organising and/or carrying out monitoring activity or visits to check the subcontractor delivery.</w:t>
      </w:r>
    </w:p>
    <w:p w14:paraId="05EB597A" w14:textId="05CF400C" w:rsidR="00317110" w:rsidRDefault="00317110" w:rsidP="00317110">
      <w:pPr>
        <w:pStyle w:val="NoSpacing"/>
        <w:rPr>
          <w:rFonts w:ascii="Arial" w:hAnsi="Arial" w:cs="Arial"/>
          <w:sz w:val="24"/>
          <w:szCs w:val="24"/>
        </w:rPr>
      </w:pPr>
      <w:r w:rsidRPr="000F08A3">
        <w:rPr>
          <w:rFonts w:ascii="Arial" w:hAnsi="Arial" w:cs="Arial"/>
          <w:sz w:val="24"/>
          <w:szCs w:val="24"/>
        </w:rPr>
        <w:t>We</w:t>
      </w:r>
      <w:r>
        <w:rPr>
          <w:rFonts w:ascii="Arial" w:hAnsi="Arial" w:cs="Arial"/>
          <w:sz w:val="24"/>
          <w:szCs w:val="24"/>
        </w:rPr>
        <w:t xml:space="preserve"> will expect all RTA materials </w:t>
      </w:r>
      <w:r w:rsidRPr="000F08A3">
        <w:rPr>
          <w:rFonts w:ascii="Arial" w:hAnsi="Arial" w:cs="Arial"/>
          <w:sz w:val="24"/>
          <w:szCs w:val="24"/>
        </w:rPr>
        <w:t xml:space="preserve">and policies to be clearly displayed at each </w:t>
      </w:r>
      <w:r w:rsidR="000E0652">
        <w:rPr>
          <w:rFonts w:ascii="Arial" w:hAnsi="Arial" w:cs="Arial"/>
          <w:sz w:val="24"/>
          <w:szCs w:val="24"/>
        </w:rPr>
        <w:t>s</w:t>
      </w:r>
      <w:r w:rsidRPr="000F08A3">
        <w:rPr>
          <w:rFonts w:ascii="Arial" w:hAnsi="Arial" w:cs="Arial"/>
          <w:sz w:val="24"/>
          <w:szCs w:val="24"/>
        </w:rPr>
        <w:t>ubcontractor</w:t>
      </w:r>
      <w:r w:rsidR="000E0652">
        <w:rPr>
          <w:rFonts w:ascii="Arial" w:hAnsi="Arial" w:cs="Arial"/>
          <w:sz w:val="24"/>
          <w:szCs w:val="24"/>
        </w:rPr>
        <w:t>’s</w:t>
      </w:r>
      <w:r w:rsidRPr="000F08A3">
        <w:rPr>
          <w:rFonts w:ascii="Arial" w:hAnsi="Arial" w:cs="Arial"/>
          <w:sz w:val="24"/>
          <w:szCs w:val="24"/>
        </w:rPr>
        <w:t xml:space="preserve"> site. </w:t>
      </w:r>
    </w:p>
    <w:p w14:paraId="09CF4677" w14:textId="77777777" w:rsidR="000E6648" w:rsidRDefault="000E6648" w:rsidP="00317110">
      <w:pPr>
        <w:pStyle w:val="NoSpacing"/>
        <w:rPr>
          <w:rFonts w:ascii="Arial" w:hAnsi="Arial" w:cs="Arial"/>
          <w:sz w:val="24"/>
          <w:szCs w:val="24"/>
        </w:rPr>
      </w:pPr>
    </w:p>
    <w:p w14:paraId="0DFB6B0F" w14:textId="1CDD1453" w:rsidR="000E6648" w:rsidRPr="008E7505" w:rsidRDefault="000E6648" w:rsidP="000E6648">
      <w:pPr>
        <w:pStyle w:val="NoSpacing"/>
        <w:rPr>
          <w:rFonts w:ascii="Arial" w:hAnsi="Arial" w:cs="Arial"/>
          <w:sz w:val="24"/>
          <w:szCs w:val="24"/>
        </w:rPr>
      </w:pPr>
      <w:r w:rsidRPr="008E7505">
        <w:rPr>
          <w:rFonts w:ascii="Arial" w:hAnsi="Arial" w:cs="Arial"/>
          <w:sz w:val="24"/>
          <w:szCs w:val="24"/>
        </w:rPr>
        <w:t>Staff delivering programmes under subcontract arrangements will be expected to have the same level of qualifications and perform to the same standards as we would expect RTA employees.</w:t>
      </w:r>
    </w:p>
    <w:p w14:paraId="0146C963" w14:textId="77777777" w:rsidR="000E6648" w:rsidRPr="000F08A3" w:rsidRDefault="000E6648" w:rsidP="00E64427">
      <w:pPr>
        <w:pStyle w:val="NoSpacing"/>
        <w:numPr>
          <w:ilvl w:val="0"/>
          <w:numId w:val="4"/>
        </w:numPr>
        <w:rPr>
          <w:rFonts w:ascii="Arial" w:hAnsi="Arial" w:cs="Arial"/>
          <w:sz w:val="24"/>
          <w:szCs w:val="24"/>
        </w:rPr>
      </w:pPr>
      <w:r>
        <w:rPr>
          <w:rFonts w:ascii="Arial" w:hAnsi="Arial" w:cs="Arial"/>
          <w:sz w:val="24"/>
          <w:szCs w:val="24"/>
        </w:rPr>
        <w:t>A minimum expectation of 90% attendance</w:t>
      </w:r>
      <w:r w:rsidRPr="000F08A3">
        <w:rPr>
          <w:rFonts w:ascii="Arial" w:hAnsi="Arial" w:cs="Arial"/>
          <w:sz w:val="24"/>
          <w:szCs w:val="24"/>
        </w:rPr>
        <w:t xml:space="preserve"> across all classes. </w:t>
      </w:r>
    </w:p>
    <w:p w14:paraId="13A89184" w14:textId="77777777" w:rsidR="000E6648" w:rsidRPr="000F08A3" w:rsidRDefault="000E6648" w:rsidP="00E64427">
      <w:pPr>
        <w:pStyle w:val="NoSpacing"/>
        <w:numPr>
          <w:ilvl w:val="0"/>
          <w:numId w:val="4"/>
        </w:numPr>
        <w:rPr>
          <w:rFonts w:ascii="Arial" w:hAnsi="Arial" w:cs="Arial"/>
          <w:sz w:val="24"/>
          <w:szCs w:val="24"/>
        </w:rPr>
      </w:pPr>
      <w:r>
        <w:rPr>
          <w:rFonts w:ascii="Arial" w:hAnsi="Arial" w:cs="Arial"/>
          <w:sz w:val="24"/>
          <w:szCs w:val="24"/>
        </w:rPr>
        <w:t>A</w:t>
      </w:r>
      <w:r w:rsidRPr="000F08A3">
        <w:rPr>
          <w:rFonts w:ascii="Arial" w:hAnsi="Arial" w:cs="Arial"/>
          <w:sz w:val="24"/>
          <w:szCs w:val="24"/>
        </w:rPr>
        <w:t xml:space="preserve">ll </w:t>
      </w:r>
      <w:r>
        <w:rPr>
          <w:rFonts w:ascii="Arial" w:hAnsi="Arial" w:cs="Arial"/>
          <w:sz w:val="24"/>
          <w:szCs w:val="24"/>
        </w:rPr>
        <w:t xml:space="preserve">OTLA </w:t>
      </w:r>
      <w:r w:rsidRPr="000F08A3">
        <w:rPr>
          <w:rFonts w:ascii="Arial" w:hAnsi="Arial" w:cs="Arial"/>
          <w:sz w:val="24"/>
          <w:szCs w:val="24"/>
        </w:rPr>
        <w:t>classes are expected t</w:t>
      </w:r>
      <w:r>
        <w:rPr>
          <w:rFonts w:ascii="Arial" w:hAnsi="Arial" w:cs="Arial"/>
          <w:sz w:val="24"/>
          <w:szCs w:val="24"/>
        </w:rPr>
        <w:t xml:space="preserve">o be a minimum ‘good’ standard. </w:t>
      </w:r>
    </w:p>
    <w:p w14:paraId="44E3316C" w14:textId="77777777" w:rsidR="000E6648" w:rsidRPr="00441260" w:rsidRDefault="000E6648" w:rsidP="00E64427">
      <w:pPr>
        <w:pStyle w:val="NoSpacing"/>
        <w:numPr>
          <w:ilvl w:val="0"/>
          <w:numId w:val="4"/>
        </w:numPr>
        <w:rPr>
          <w:rFonts w:ascii="Arial" w:hAnsi="Arial" w:cs="Arial"/>
          <w:sz w:val="24"/>
          <w:szCs w:val="24"/>
        </w:rPr>
      </w:pPr>
      <w:r>
        <w:rPr>
          <w:rFonts w:ascii="Arial" w:hAnsi="Arial" w:cs="Arial"/>
          <w:sz w:val="24"/>
          <w:szCs w:val="24"/>
        </w:rPr>
        <w:t xml:space="preserve">Achievement rates </w:t>
      </w:r>
      <w:r w:rsidRPr="000F08A3">
        <w:rPr>
          <w:rFonts w:ascii="Arial" w:hAnsi="Arial" w:cs="Arial"/>
          <w:sz w:val="24"/>
          <w:szCs w:val="24"/>
        </w:rPr>
        <w:t>above 80% for all programmes</w:t>
      </w:r>
      <w:r>
        <w:rPr>
          <w:rFonts w:ascii="Arial" w:hAnsi="Arial" w:cs="Arial"/>
          <w:sz w:val="24"/>
          <w:szCs w:val="24"/>
        </w:rPr>
        <w:t>,</w:t>
      </w:r>
    </w:p>
    <w:p w14:paraId="2FBA5156" w14:textId="77777777" w:rsidR="000E6648" w:rsidRDefault="000E6648" w:rsidP="00317110">
      <w:pPr>
        <w:pStyle w:val="NoSpacing"/>
        <w:rPr>
          <w:rFonts w:ascii="Arial" w:hAnsi="Arial" w:cs="Arial"/>
          <w:sz w:val="24"/>
          <w:szCs w:val="24"/>
        </w:rPr>
      </w:pPr>
    </w:p>
    <w:p w14:paraId="2218ACC9" w14:textId="3D33649F" w:rsidR="000E6648" w:rsidRPr="008E7505" w:rsidRDefault="00B97DB6" w:rsidP="000E6648">
      <w:pPr>
        <w:rPr>
          <w:rFonts w:ascii="Arial" w:hAnsi="Arial" w:cs="Arial"/>
          <w:sz w:val="24"/>
          <w:szCs w:val="24"/>
        </w:rPr>
      </w:pPr>
      <w:r>
        <w:rPr>
          <w:rFonts w:ascii="Arial" w:hAnsi="Arial" w:cs="Arial"/>
          <w:sz w:val="24"/>
          <w:szCs w:val="24"/>
        </w:rPr>
        <w:t>RTA</w:t>
      </w:r>
      <w:r w:rsidR="000E6648" w:rsidRPr="008E7505">
        <w:rPr>
          <w:rFonts w:ascii="Arial" w:hAnsi="Arial" w:cs="Arial"/>
          <w:sz w:val="24"/>
          <w:szCs w:val="24"/>
        </w:rPr>
        <w:t xml:space="preserve"> will ensure that IAG delivered to subcontracted learners is robust and learners understand the realistic potential outcomes from their learning programmes.</w:t>
      </w:r>
    </w:p>
    <w:p w14:paraId="27A96533" w14:textId="77777777" w:rsidR="000E6648" w:rsidRPr="006112EF" w:rsidRDefault="000E6648" w:rsidP="000E6648">
      <w:pPr>
        <w:rPr>
          <w:rFonts w:ascii="Arial" w:hAnsi="Arial" w:cs="Arial"/>
          <w:sz w:val="24"/>
          <w:szCs w:val="24"/>
        </w:rPr>
      </w:pPr>
      <w:r w:rsidRPr="006112EF">
        <w:rPr>
          <w:rFonts w:ascii="Arial" w:hAnsi="Arial" w:cs="Arial"/>
          <w:sz w:val="24"/>
          <w:szCs w:val="24"/>
        </w:rPr>
        <w:t>RTA will ensure safeguarding is rigorously policed.</w:t>
      </w:r>
    </w:p>
    <w:p w14:paraId="0056CA75" w14:textId="24AA2E2E" w:rsidR="00441260" w:rsidRPr="006112EF" w:rsidRDefault="000E6648" w:rsidP="000E6648">
      <w:pPr>
        <w:rPr>
          <w:rFonts w:ascii="Arial" w:hAnsi="Arial" w:cs="Arial"/>
          <w:sz w:val="24"/>
          <w:szCs w:val="24"/>
        </w:rPr>
      </w:pPr>
      <w:r w:rsidRPr="006112EF">
        <w:rPr>
          <w:rFonts w:ascii="Arial" w:hAnsi="Arial" w:cs="Arial"/>
          <w:sz w:val="24"/>
          <w:szCs w:val="24"/>
        </w:rPr>
        <w:t>RTA will ensure that subcontractors are aware of the Prevent duty and fully discharge their responsibility to prevent people from being drawn into terrorism. RTA will ensure that all subcontractors comply with relevant legislation and any statutory responsibilities associated with the delivery of education and safeguarding of learners.</w:t>
      </w:r>
      <w:r w:rsidR="00441260" w:rsidRPr="006112EF">
        <w:rPr>
          <w:rFonts w:ascii="Arial" w:hAnsi="Arial" w:cs="Arial"/>
          <w:sz w:val="24"/>
          <w:szCs w:val="24"/>
        </w:rPr>
        <w:tab/>
      </w:r>
    </w:p>
    <w:p w14:paraId="176D446F" w14:textId="77777777" w:rsidR="00D27BBF" w:rsidRPr="006112EF" w:rsidRDefault="00D27BBF" w:rsidP="00D27BBF">
      <w:pPr>
        <w:pStyle w:val="NoSpacing"/>
        <w:rPr>
          <w:rFonts w:ascii="Arial" w:hAnsi="Arial" w:cs="Arial"/>
          <w:sz w:val="24"/>
          <w:szCs w:val="24"/>
        </w:rPr>
      </w:pPr>
      <w:r w:rsidRPr="006112EF">
        <w:rPr>
          <w:rFonts w:ascii="Arial" w:hAnsi="Arial" w:cs="Arial"/>
          <w:sz w:val="24"/>
          <w:szCs w:val="24"/>
        </w:rPr>
        <w:t xml:space="preserve">Quality will be monitored and managed through existing RTA quality assurance processes which are fully enabled to support all partnership activity. </w:t>
      </w:r>
    </w:p>
    <w:p w14:paraId="60926CB5" w14:textId="55E701A2" w:rsidR="00D27BBF" w:rsidRPr="006112EF" w:rsidRDefault="00D27BBF" w:rsidP="00E64427">
      <w:pPr>
        <w:pStyle w:val="NoSpacing"/>
        <w:numPr>
          <w:ilvl w:val="0"/>
          <w:numId w:val="16"/>
        </w:numPr>
        <w:rPr>
          <w:rFonts w:ascii="Arial" w:hAnsi="Arial" w:cs="Arial"/>
          <w:sz w:val="24"/>
          <w:szCs w:val="24"/>
        </w:rPr>
      </w:pPr>
      <w:r w:rsidRPr="006112EF">
        <w:rPr>
          <w:rFonts w:ascii="Arial" w:hAnsi="Arial" w:cs="Arial"/>
          <w:sz w:val="24"/>
          <w:szCs w:val="24"/>
        </w:rPr>
        <w:t>Reviewing schemes of work</w:t>
      </w:r>
    </w:p>
    <w:p w14:paraId="5E537580" w14:textId="77777777" w:rsidR="008E7505" w:rsidRPr="006112EF" w:rsidRDefault="00441260" w:rsidP="00E64427">
      <w:pPr>
        <w:pStyle w:val="ListParagraph"/>
        <w:numPr>
          <w:ilvl w:val="0"/>
          <w:numId w:val="2"/>
        </w:numPr>
        <w:rPr>
          <w:rFonts w:ascii="Arial" w:hAnsi="Arial" w:cs="Arial"/>
          <w:sz w:val="24"/>
          <w:szCs w:val="24"/>
        </w:rPr>
      </w:pPr>
      <w:r w:rsidRPr="006112EF">
        <w:rPr>
          <w:rFonts w:ascii="Arial" w:hAnsi="Arial" w:cs="Arial"/>
          <w:sz w:val="24"/>
          <w:szCs w:val="24"/>
        </w:rPr>
        <w:t>S</w:t>
      </w:r>
      <w:r w:rsidR="000F08A3" w:rsidRPr="006112EF">
        <w:rPr>
          <w:rFonts w:ascii="Arial" w:hAnsi="Arial" w:cs="Arial"/>
          <w:sz w:val="24"/>
          <w:szCs w:val="24"/>
        </w:rPr>
        <w:t>pot checks and face to face interviews with staf</w:t>
      </w:r>
      <w:r w:rsidR="007A4A42" w:rsidRPr="006112EF">
        <w:rPr>
          <w:rFonts w:ascii="Arial" w:hAnsi="Arial" w:cs="Arial"/>
          <w:sz w:val="24"/>
          <w:szCs w:val="24"/>
        </w:rPr>
        <w:t>f</w:t>
      </w:r>
      <w:r w:rsidRPr="006112EF">
        <w:rPr>
          <w:rFonts w:ascii="Arial" w:hAnsi="Arial" w:cs="Arial"/>
          <w:sz w:val="24"/>
          <w:szCs w:val="24"/>
        </w:rPr>
        <w:t xml:space="preserve"> and learners to verify</w:t>
      </w:r>
      <w:r w:rsidR="000F08A3" w:rsidRPr="006112EF">
        <w:rPr>
          <w:rFonts w:ascii="Arial" w:hAnsi="Arial" w:cs="Arial"/>
          <w:sz w:val="24"/>
          <w:szCs w:val="24"/>
        </w:rPr>
        <w:t xml:space="preserve"> that learners exist and meet the eligibility criteria for </w:t>
      </w:r>
      <w:r w:rsidR="007A4A42" w:rsidRPr="006112EF">
        <w:rPr>
          <w:rFonts w:ascii="Arial" w:hAnsi="Arial" w:cs="Arial"/>
          <w:sz w:val="24"/>
          <w:szCs w:val="24"/>
        </w:rPr>
        <w:t>funding</w:t>
      </w:r>
    </w:p>
    <w:p w14:paraId="742643EC" w14:textId="44BA4507" w:rsidR="008E7505" w:rsidRPr="006112EF" w:rsidRDefault="008E7505" w:rsidP="00E64427">
      <w:pPr>
        <w:pStyle w:val="ListParagraph"/>
        <w:numPr>
          <w:ilvl w:val="0"/>
          <w:numId w:val="15"/>
        </w:numPr>
        <w:rPr>
          <w:rFonts w:ascii="Arial" w:hAnsi="Arial" w:cs="Arial"/>
          <w:sz w:val="24"/>
          <w:szCs w:val="24"/>
        </w:rPr>
      </w:pPr>
      <w:r w:rsidRPr="006112EF">
        <w:rPr>
          <w:rFonts w:ascii="Arial" w:hAnsi="Arial" w:cs="Arial"/>
          <w:sz w:val="24"/>
          <w:szCs w:val="24"/>
        </w:rPr>
        <w:t>Monthly monitoring of funding rules compliance; feedback from learners, including complaints; actual and projected learner attendance, progress, withdrawals, retention, pass rates and achievement</w:t>
      </w:r>
    </w:p>
    <w:p w14:paraId="43DD3CA3" w14:textId="11E07A92" w:rsidR="000F08A3" w:rsidRPr="006112EF" w:rsidRDefault="007A4A42" w:rsidP="00E64427">
      <w:pPr>
        <w:pStyle w:val="ListParagraph"/>
        <w:numPr>
          <w:ilvl w:val="0"/>
          <w:numId w:val="15"/>
        </w:numPr>
        <w:rPr>
          <w:rFonts w:ascii="Arial" w:hAnsi="Arial" w:cs="Arial"/>
          <w:sz w:val="24"/>
          <w:szCs w:val="24"/>
        </w:rPr>
      </w:pPr>
      <w:r w:rsidRPr="006112EF">
        <w:rPr>
          <w:rFonts w:ascii="Arial" w:hAnsi="Arial" w:cs="Arial"/>
          <w:sz w:val="24"/>
          <w:szCs w:val="24"/>
        </w:rPr>
        <w:t>D</w:t>
      </w:r>
      <w:r w:rsidR="000F08A3" w:rsidRPr="006112EF">
        <w:rPr>
          <w:rFonts w:ascii="Arial" w:hAnsi="Arial" w:cs="Arial"/>
          <w:sz w:val="24"/>
          <w:szCs w:val="24"/>
        </w:rPr>
        <w:t>irect observation of initial guidance</w:t>
      </w:r>
      <w:r w:rsidR="00D27BBF" w:rsidRPr="006112EF">
        <w:rPr>
          <w:rFonts w:ascii="Arial" w:hAnsi="Arial" w:cs="Arial"/>
          <w:sz w:val="24"/>
          <w:szCs w:val="24"/>
        </w:rPr>
        <w:t xml:space="preserve"> and assessment; teaching, learning and assessment and learner reviews</w:t>
      </w:r>
    </w:p>
    <w:p w14:paraId="723E16FC" w14:textId="4F130FF9" w:rsidR="00D27BBF" w:rsidRPr="006112EF" w:rsidRDefault="00D27BBF" w:rsidP="00E64427">
      <w:pPr>
        <w:pStyle w:val="ListParagraph"/>
        <w:numPr>
          <w:ilvl w:val="0"/>
          <w:numId w:val="15"/>
        </w:numPr>
        <w:rPr>
          <w:rFonts w:ascii="Arial" w:hAnsi="Arial" w:cs="Arial"/>
          <w:sz w:val="24"/>
          <w:szCs w:val="24"/>
        </w:rPr>
      </w:pPr>
      <w:r w:rsidRPr="006112EF">
        <w:rPr>
          <w:rFonts w:ascii="Arial" w:hAnsi="Arial" w:cs="Arial"/>
          <w:sz w:val="24"/>
          <w:szCs w:val="24"/>
        </w:rPr>
        <w:t>Reviewing learner feedback including surveys and complaints</w:t>
      </w:r>
    </w:p>
    <w:p w14:paraId="38F6E83F" w14:textId="24A3D61E" w:rsidR="008E7505" w:rsidRPr="006112EF" w:rsidRDefault="00441260" w:rsidP="00E64427">
      <w:pPr>
        <w:pStyle w:val="ListParagraph"/>
        <w:numPr>
          <w:ilvl w:val="0"/>
          <w:numId w:val="15"/>
        </w:numPr>
        <w:rPr>
          <w:rFonts w:ascii="Arial" w:hAnsi="Arial" w:cs="Arial"/>
          <w:sz w:val="24"/>
          <w:szCs w:val="24"/>
        </w:rPr>
      </w:pPr>
      <w:r w:rsidRPr="006112EF">
        <w:rPr>
          <w:rFonts w:ascii="Arial" w:hAnsi="Arial" w:cs="Arial"/>
          <w:sz w:val="24"/>
          <w:szCs w:val="24"/>
        </w:rPr>
        <w:t xml:space="preserve">Monthly </w:t>
      </w:r>
      <w:r w:rsidR="00D27BBF" w:rsidRPr="006112EF">
        <w:rPr>
          <w:rFonts w:ascii="Arial" w:hAnsi="Arial" w:cs="Arial"/>
          <w:sz w:val="24"/>
          <w:szCs w:val="24"/>
        </w:rPr>
        <w:t>management performance reviews</w:t>
      </w:r>
      <w:r w:rsidR="008E7505" w:rsidRPr="006112EF">
        <w:rPr>
          <w:rFonts w:ascii="Arial" w:hAnsi="Arial" w:cs="Arial"/>
          <w:sz w:val="24"/>
          <w:szCs w:val="24"/>
        </w:rPr>
        <w:t xml:space="preserve"> </w:t>
      </w:r>
      <w:r w:rsidR="00D27BBF" w:rsidRPr="006112EF">
        <w:rPr>
          <w:rFonts w:ascii="Arial" w:hAnsi="Arial" w:cs="Arial"/>
          <w:sz w:val="24"/>
          <w:szCs w:val="24"/>
        </w:rPr>
        <w:t xml:space="preserve">including </w:t>
      </w:r>
      <w:r w:rsidR="008E7505" w:rsidRPr="006112EF">
        <w:rPr>
          <w:rFonts w:ascii="Arial" w:hAnsi="Arial" w:cs="Arial"/>
          <w:sz w:val="24"/>
          <w:szCs w:val="24"/>
        </w:rPr>
        <w:t>risk management of learners and the provider.</w:t>
      </w:r>
    </w:p>
    <w:p w14:paraId="6D293820" w14:textId="35D5EAA9" w:rsidR="009A2941" w:rsidRPr="009A2941" w:rsidRDefault="008E7505" w:rsidP="00E64427">
      <w:pPr>
        <w:pStyle w:val="ListParagraph"/>
        <w:numPr>
          <w:ilvl w:val="0"/>
          <w:numId w:val="15"/>
        </w:numPr>
        <w:rPr>
          <w:rFonts w:ascii="Arial" w:hAnsi="Arial" w:cs="Arial"/>
          <w:sz w:val="24"/>
          <w:szCs w:val="24"/>
        </w:rPr>
      </w:pPr>
      <w:r w:rsidRPr="006112EF">
        <w:rPr>
          <w:rFonts w:ascii="Arial" w:hAnsi="Arial" w:cs="Arial"/>
          <w:sz w:val="24"/>
          <w:szCs w:val="24"/>
        </w:rPr>
        <w:t xml:space="preserve">Termly governance meetings </w:t>
      </w:r>
    </w:p>
    <w:p w14:paraId="28011F8C" w14:textId="77777777" w:rsidR="00FE599D" w:rsidRDefault="00684569" w:rsidP="00FE599D">
      <w:pPr>
        <w:rPr>
          <w:rFonts w:ascii="Arial" w:hAnsi="Arial" w:cs="Arial"/>
          <w:sz w:val="24"/>
          <w:szCs w:val="24"/>
        </w:rPr>
      </w:pPr>
      <w:r w:rsidRPr="005F5CEB">
        <w:rPr>
          <w:rFonts w:ascii="Arial" w:hAnsi="Arial" w:cs="Arial"/>
          <w:sz w:val="24"/>
          <w:szCs w:val="24"/>
        </w:rPr>
        <w:t xml:space="preserve">All staff will be expected to undertake CPD hours, in line with staff employed by RTA. </w:t>
      </w:r>
    </w:p>
    <w:p w14:paraId="3E71B58F" w14:textId="5871CDED" w:rsidR="00CF47FA" w:rsidRPr="00FE599D" w:rsidRDefault="00FE599D" w:rsidP="00FE599D">
      <w:pPr>
        <w:rPr>
          <w:rFonts w:ascii="Arial" w:hAnsi="Arial" w:cs="Arial"/>
          <w:sz w:val="24"/>
          <w:szCs w:val="24"/>
        </w:rPr>
      </w:pPr>
      <w:r w:rsidRPr="00FE599D">
        <w:rPr>
          <w:rFonts w:ascii="Arial" w:hAnsi="Arial" w:cs="Arial"/>
          <w:b/>
          <w:sz w:val="24"/>
          <w:szCs w:val="24"/>
        </w:rPr>
        <w:t>8</w:t>
      </w:r>
      <w:r>
        <w:rPr>
          <w:rFonts w:ascii="Arial" w:hAnsi="Arial" w:cs="Arial"/>
          <w:sz w:val="24"/>
          <w:szCs w:val="24"/>
        </w:rPr>
        <w:t xml:space="preserve">. </w:t>
      </w:r>
      <w:r w:rsidR="00F20224" w:rsidRPr="00FE599D">
        <w:rPr>
          <w:rFonts w:ascii="Arial" w:hAnsi="Arial" w:cs="Arial"/>
          <w:b/>
          <w:sz w:val="24"/>
          <w:szCs w:val="24"/>
        </w:rPr>
        <w:t>Contingency Plan</w:t>
      </w:r>
      <w:r w:rsidR="00CF47FA" w:rsidRPr="00FE599D">
        <w:rPr>
          <w:rFonts w:ascii="Arial" w:hAnsi="Arial" w:cs="Arial"/>
          <w:sz w:val="24"/>
          <w:szCs w:val="24"/>
        </w:rPr>
        <w:t xml:space="preserve"> </w:t>
      </w:r>
    </w:p>
    <w:p w14:paraId="027A473E" w14:textId="77777777" w:rsidR="00C86303" w:rsidRDefault="00287573" w:rsidP="00663308">
      <w:pPr>
        <w:pStyle w:val="NoSpacing"/>
        <w:rPr>
          <w:rFonts w:ascii="Arial" w:hAnsi="Arial" w:cs="Arial"/>
          <w:sz w:val="24"/>
          <w:szCs w:val="24"/>
        </w:rPr>
      </w:pPr>
      <w:r w:rsidRPr="00663308">
        <w:rPr>
          <w:rFonts w:ascii="Arial" w:hAnsi="Arial" w:cs="Arial"/>
          <w:sz w:val="24"/>
          <w:szCs w:val="24"/>
        </w:rPr>
        <w:t>A contingency plan safeguards lear</w:t>
      </w:r>
      <w:r w:rsidR="00770384" w:rsidRPr="00663308">
        <w:rPr>
          <w:rFonts w:ascii="Arial" w:hAnsi="Arial" w:cs="Arial"/>
          <w:sz w:val="24"/>
          <w:szCs w:val="24"/>
        </w:rPr>
        <w:t>ners in the event that a subcontractor</w:t>
      </w:r>
      <w:r w:rsidRPr="00663308">
        <w:rPr>
          <w:rFonts w:ascii="Arial" w:hAnsi="Arial" w:cs="Arial"/>
          <w:sz w:val="24"/>
          <w:szCs w:val="24"/>
        </w:rPr>
        <w:t xml:space="preserve"> </w:t>
      </w:r>
      <w:r w:rsidR="00663308" w:rsidRPr="00663308">
        <w:rPr>
          <w:rFonts w:ascii="Arial" w:hAnsi="Arial" w:cs="Arial"/>
          <w:sz w:val="24"/>
          <w:szCs w:val="24"/>
        </w:rPr>
        <w:t xml:space="preserve">contract is </w:t>
      </w:r>
    </w:p>
    <w:p w14:paraId="2A598134" w14:textId="280BC87A" w:rsidR="00663308" w:rsidRDefault="00663308" w:rsidP="00663308">
      <w:pPr>
        <w:pStyle w:val="NoSpacing"/>
        <w:rPr>
          <w:rFonts w:ascii="Arial" w:hAnsi="Arial" w:cs="Arial"/>
          <w:sz w:val="24"/>
          <w:szCs w:val="24"/>
        </w:rPr>
      </w:pPr>
      <w:r w:rsidRPr="00663308">
        <w:rPr>
          <w:rFonts w:ascii="Arial" w:hAnsi="Arial" w:cs="Arial"/>
          <w:sz w:val="24"/>
          <w:szCs w:val="24"/>
        </w:rPr>
        <w:lastRenderedPageBreak/>
        <w:t xml:space="preserve">cancelled, </w:t>
      </w:r>
      <w:r w:rsidR="00287573" w:rsidRPr="00663308">
        <w:rPr>
          <w:rFonts w:ascii="Arial" w:hAnsi="Arial" w:cs="Arial"/>
          <w:sz w:val="24"/>
          <w:szCs w:val="24"/>
        </w:rPr>
        <w:t>withdraws from the arrangement</w:t>
      </w:r>
      <w:r w:rsidRPr="00663308">
        <w:rPr>
          <w:rFonts w:ascii="Arial" w:hAnsi="Arial" w:cs="Arial"/>
          <w:sz w:val="24"/>
          <w:szCs w:val="24"/>
        </w:rPr>
        <w:t xml:space="preserve">, </w:t>
      </w:r>
      <w:r w:rsidR="00287573" w:rsidRPr="00663308">
        <w:rPr>
          <w:rFonts w:ascii="Arial" w:hAnsi="Arial" w:cs="Arial"/>
          <w:sz w:val="24"/>
          <w:szCs w:val="24"/>
        </w:rPr>
        <w:t xml:space="preserve">goes into liquidation or administration. </w:t>
      </w:r>
    </w:p>
    <w:p w14:paraId="128CD6C0" w14:textId="77777777" w:rsidR="00663308" w:rsidRDefault="00663308" w:rsidP="00663308">
      <w:pPr>
        <w:pStyle w:val="NoSpacing"/>
        <w:rPr>
          <w:rFonts w:ascii="Arial" w:hAnsi="Arial" w:cs="Arial"/>
          <w:sz w:val="24"/>
          <w:szCs w:val="24"/>
        </w:rPr>
      </w:pPr>
    </w:p>
    <w:p w14:paraId="210357C9" w14:textId="34C4C021" w:rsidR="00287573" w:rsidRDefault="00663308" w:rsidP="008F167A">
      <w:pPr>
        <w:rPr>
          <w:rFonts w:ascii="Arial" w:hAnsi="Arial" w:cs="Arial"/>
          <w:sz w:val="24"/>
          <w:szCs w:val="24"/>
        </w:rPr>
      </w:pPr>
      <w:r w:rsidRPr="00663308">
        <w:rPr>
          <w:rFonts w:ascii="Arial" w:hAnsi="Arial" w:cs="Arial"/>
          <w:sz w:val="24"/>
          <w:szCs w:val="24"/>
        </w:rPr>
        <w:t>I</w:t>
      </w:r>
      <w:r>
        <w:rPr>
          <w:rFonts w:ascii="Arial" w:hAnsi="Arial" w:cs="Arial"/>
          <w:sz w:val="24"/>
          <w:szCs w:val="24"/>
        </w:rPr>
        <w:t>n such circumstances RTA’s first option will be taking over</w:t>
      </w:r>
      <w:r w:rsidRPr="00663308">
        <w:rPr>
          <w:rFonts w:ascii="Arial" w:hAnsi="Arial" w:cs="Arial"/>
          <w:sz w:val="24"/>
          <w:szCs w:val="24"/>
        </w:rPr>
        <w:t xml:space="preserve"> direct delivery</w:t>
      </w:r>
      <w:r>
        <w:rPr>
          <w:rFonts w:ascii="Arial" w:hAnsi="Arial" w:cs="Arial"/>
          <w:sz w:val="24"/>
          <w:szCs w:val="24"/>
        </w:rPr>
        <w:t xml:space="preserve">. </w:t>
      </w:r>
      <w:r w:rsidR="00287573" w:rsidRPr="00287573">
        <w:rPr>
          <w:rFonts w:ascii="Arial" w:hAnsi="Arial" w:cs="Arial"/>
          <w:sz w:val="24"/>
          <w:szCs w:val="24"/>
        </w:rPr>
        <w:t>If that is</w:t>
      </w:r>
      <w:r w:rsidR="00FB4E17">
        <w:rPr>
          <w:rFonts w:ascii="Arial" w:hAnsi="Arial" w:cs="Arial"/>
          <w:sz w:val="24"/>
          <w:szCs w:val="24"/>
        </w:rPr>
        <w:t xml:space="preserve"> </w:t>
      </w:r>
      <w:r w:rsidR="00287573" w:rsidRPr="00287573">
        <w:rPr>
          <w:rFonts w:ascii="Arial" w:hAnsi="Arial" w:cs="Arial"/>
          <w:sz w:val="24"/>
          <w:szCs w:val="24"/>
        </w:rPr>
        <w:t xml:space="preserve">not </w:t>
      </w:r>
      <w:r>
        <w:rPr>
          <w:rFonts w:ascii="Arial" w:hAnsi="Arial" w:cs="Arial"/>
          <w:sz w:val="24"/>
          <w:szCs w:val="24"/>
        </w:rPr>
        <w:t>a feasible option</w:t>
      </w:r>
      <w:r w:rsidR="000E0652">
        <w:rPr>
          <w:rFonts w:ascii="Arial" w:hAnsi="Arial" w:cs="Arial"/>
          <w:sz w:val="24"/>
          <w:szCs w:val="24"/>
        </w:rPr>
        <w:t xml:space="preserve"> a new subcontractor</w:t>
      </w:r>
      <w:r w:rsidR="00287573" w:rsidRPr="00287573">
        <w:rPr>
          <w:rFonts w:ascii="Arial" w:hAnsi="Arial" w:cs="Arial"/>
          <w:sz w:val="24"/>
          <w:szCs w:val="24"/>
        </w:rPr>
        <w:t xml:space="preserve"> will be sought. Provided they pass through the due dilig</w:t>
      </w:r>
      <w:r w:rsidR="000E0652">
        <w:rPr>
          <w:rFonts w:ascii="Arial" w:hAnsi="Arial" w:cs="Arial"/>
          <w:sz w:val="24"/>
          <w:szCs w:val="24"/>
        </w:rPr>
        <w:t>ence process, they</w:t>
      </w:r>
      <w:r w:rsidR="00287573" w:rsidRPr="00287573">
        <w:rPr>
          <w:rFonts w:ascii="Arial" w:hAnsi="Arial" w:cs="Arial"/>
          <w:sz w:val="24"/>
          <w:szCs w:val="24"/>
        </w:rPr>
        <w:t xml:space="preserve"> will take over the learners.</w:t>
      </w:r>
    </w:p>
    <w:p w14:paraId="5D953B9F" w14:textId="35ED4BDB" w:rsidR="00287573" w:rsidRDefault="00287573" w:rsidP="008F167A">
      <w:pPr>
        <w:rPr>
          <w:rFonts w:ascii="Arial" w:hAnsi="Arial" w:cs="Arial"/>
          <w:sz w:val="24"/>
          <w:szCs w:val="24"/>
        </w:rPr>
      </w:pPr>
      <w:r w:rsidRPr="00287573">
        <w:rPr>
          <w:rFonts w:ascii="Arial" w:hAnsi="Arial" w:cs="Arial"/>
          <w:sz w:val="24"/>
          <w:szCs w:val="24"/>
        </w:rPr>
        <w:t>Learners will be informed and supported throughout th</w:t>
      </w:r>
      <w:r w:rsidR="00663308">
        <w:rPr>
          <w:rFonts w:ascii="Arial" w:hAnsi="Arial" w:cs="Arial"/>
          <w:sz w:val="24"/>
          <w:szCs w:val="24"/>
        </w:rPr>
        <w:t>is process by RTA</w:t>
      </w:r>
      <w:r w:rsidRPr="00287573">
        <w:rPr>
          <w:rFonts w:ascii="Arial" w:hAnsi="Arial" w:cs="Arial"/>
          <w:sz w:val="24"/>
          <w:szCs w:val="24"/>
        </w:rPr>
        <w:t xml:space="preserve">. </w:t>
      </w:r>
    </w:p>
    <w:p w14:paraId="48862867" w14:textId="59C6790E" w:rsidR="00663308" w:rsidRDefault="00663308" w:rsidP="00663308">
      <w:pPr>
        <w:pStyle w:val="NoSpacing"/>
        <w:rPr>
          <w:rFonts w:ascii="Arial" w:hAnsi="Arial" w:cs="Arial"/>
          <w:sz w:val="24"/>
          <w:szCs w:val="24"/>
        </w:rPr>
      </w:pPr>
      <w:r w:rsidRPr="00663308">
        <w:rPr>
          <w:rFonts w:ascii="Arial" w:hAnsi="Arial" w:cs="Arial"/>
          <w:sz w:val="24"/>
          <w:szCs w:val="24"/>
        </w:rPr>
        <w:t>If contract termination procedures are implemented, partners are contractually required to co-operate fully with this process. Failure to comply with the requirements will result in withheld payments until a satisfactory resolution is achieved.</w:t>
      </w:r>
    </w:p>
    <w:p w14:paraId="1FF5D858" w14:textId="77777777" w:rsidR="00663308" w:rsidRDefault="00663308" w:rsidP="00663308">
      <w:pPr>
        <w:pStyle w:val="NoSpacing"/>
        <w:rPr>
          <w:rFonts w:ascii="Arial" w:hAnsi="Arial" w:cs="Arial"/>
          <w:sz w:val="24"/>
          <w:szCs w:val="24"/>
        </w:rPr>
      </w:pPr>
    </w:p>
    <w:p w14:paraId="56ED8E35" w14:textId="54E87B8C" w:rsidR="007F2AF2" w:rsidRDefault="00464F61" w:rsidP="00287573">
      <w:pPr>
        <w:rPr>
          <w:rFonts w:ascii="Arial" w:hAnsi="Arial" w:cs="Arial"/>
          <w:b/>
          <w:sz w:val="24"/>
          <w:szCs w:val="24"/>
        </w:rPr>
      </w:pPr>
      <w:r>
        <w:rPr>
          <w:rFonts w:ascii="Arial" w:hAnsi="Arial" w:cs="Arial"/>
          <w:b/>
          <w:sz w:val="24"/>
          <w:szCs w:val="24"/>
        </w:rPr>
        <w:t>9</w:t>
      </w:r>
      <w:r w:rsidR="003C0E2D">
        <w:rPr>
          <w:rFonts w:ascii="Arial" w:hAnsi="Arial" w:cs="Arial"/>
          <w:b/>
          <w:sz w:val="24"/>
          <w:szCs w:val="24"/>
        </w:rPr>
        <w:t xml:space="preserve">. </w:t>
      </w:r>
      <w:r w:rsidR="00F20224">
        <w:rPr>
          <w:rFonts w:ascii="Arial" w:hAnsi="Arial" w:cs="Arial"/>
          <w:b/>
          <w:sz w:val="24"/>
          <w:szCs w:val="24"/>
        </w:rPr>
        <w:t>Fees, Services and Charges</w:t>
      </w:r>
    </w:p>
    <w:p w14:paraId="2B4CB6FA" w14:textId="5673DC32" w:rsidR="00E8585E" w:rsidRDefault="00E8585E" w:rsidP="00E8585E">
      <w:pPr>
        <w:rPr>
          <w:rFonts w:ascii="Arial" w:hAnsi="Arial" w:cs="Arial"/>
          <w:sz w:val="24"/>
          <w:szCs w:val="24"/>
        </w:rPr>
      </w:pPr>
      <w:r w:rsidRPr="00287573">
        <w:rPr>
          <w:rFonts w:ascii="Arial" w:hAnsi="Arial" w:cs="Arial"/>
          <w:sz w:val="24"/>
          <w:szCs w:val="24"/>
        </w:rPr>
        <w:t>RTA has a st</w:t>
      </w:r>
      <w:r w:rsidR="000237D5">
        <w:rPr>
          <w:rFonts w:ascii="Arial" w:hAnsi="Arial" w:cs="Arial"/>
          <w:sz w:val="24"/>
          <w:szCs w:val="24"/>
        </w:rPr>
        <w:t>andard management fee of 20%</w:t>
      </w:r>
      <w:r w:rsidRPr="00287573">
        <w:rPr>
          <w:rFonts w:ascii="Arial" w:hAnsi="Arial" w:cs="Arial"/>
          <w:sz w:val="24"/>
          <w:szCs w:val="24"/>
        </w:rPr>
        <w:t>. This can be increased or decreased depending on the level of support our</w:t>
      </w:r>
      <w:r>
        <w:rPr>
          <w:rFonts w:ascii="Arial" w:hAnsi="Arial" w:cs="Arial"/>
          <w:sz w:val="24"/>
          <w:szCs w:val="24"/>
        </w:rPr>
        <w:t xml:space="preserve"> due diligence process indicates</w:t>
      </w:r>
      <w:r w:rsidRPr="00287573">
        <w:rPr>
          <w:rFonts w:ascii="Arial" w:hAnsi="Arial" w:cs="Arial"/>
          <w:sz w:val="24"/>
          <w:szCs w:val="24"/>
        </w:rPr>
        <w:t xml:space="preserve"> is necessary, or the range of services provided by RTA, including English and Maths.</w:t>
      </w:r>
    </w:p>
    <w:p w14:paraId="3DD44F65" w14:textId="2DA2191C" w:rsidR="006112EF" w:rsidRPr="007F3EC0" w:rsidRDefault="006112EF" w:rsidP="006112EF">
      <w:pPr>
        <w:rPr>
          <w:rFonts w:ascii="Arial" w:hAnsi="Arial" w:cs="Arial"/>
          <w:sz w:val="24"/>
          <w:szCs w:val="24"/>
        </w:rPr>
      </w:pPr>
      <w:r w:rsidRPr="007F3EC0">
        <w:rPr>
          <w:rFonts w:ascii="Arial" w:hAnsi="Arial" w:cs="Arial"/>
          <w:sz w:val="24"/>
          <w:szCs w:val="24"/>
        </w:rPr>
        <w:t>There may be some slight variations in fees charged for the support provided to different subcontractors. These are for a variety of reasons but could include</w:t>
      </w:r>
      <w:r w:rsidRPr="007F3EC0">
        <w:t xml:space="preserve"> </w:t>
      </w:r>
      <w:r w:rsidRPr="007F3EC0">
        <w:rPr>
          <w:rFonts w:ascii="Arial" w:hAnsi="Arial" w:cs="Arial"/>
          <w:sz w:val="24"/>
          <w:szCs w:val="24"/>
        </w:rPr>
        <w:t xml:space="preserve">additional support measures put in place to manage under-performance by partners. </w:t>
      </w:r>
    </w:p>
    <w:p w14:paraId="5C0A5FBC" w14:textId="0FBF8B42" w:rsidR="00B97DB6" w:rsidRPr="000237D5" w:rsidRDefault="006112EF" w:rsidP="00B97DB6">
      <w:pPr>
        <w:rPr>
          <w:rFonts w:ascii="Arial" w:hAnsi="Arial" w:cs="Arial"/>
          <w:sz w:val="24"/>
          <w:szCs w:val="24"/>
        </w:rPr>
      </w:pPr>
      <w:r w:rsidRPr="007F3EC0">
        <w:rPr>
          <w:rFonts w:ascii="Arial" w:hAnsi="Arial" w:cs="Arial"/>
          <w:sz w:val="24"/>
          <w:szCs w:val="24"/>
        </w:rPr>
        <w:t>The standard management fee can be reduced after the f</w:t>
      </w:r>
      <w:r>
        <w:rPr>
          <w:rFonts w:ascii="Arial" w:hAnsi="Arial" w:cs="Arial"/>
          <w:sz w:val="24"/>
          <w:szCs w:val="24"/>
        </w:rPr>
        <w:t>irst contract year where achievement</w:t>
      </w:r>
      <w:r w:rsidRPr="007F3EC0">
        <w:rPr>
          <w:rFonts w:ascii="Arial" w:hAnsi="Arial" w:cs="Arial"/>
          <w:sz w:val="24"/>
          <w:szCs w:val="24"/>
        </w:rPr>
        <w:t xml:space="preserve"> rates are over 83%. </w:t>
      </w:r>
    </w:p>
    <w:tbl>
      <w:tblPr>
        <w:tblStyle w:val="TableGrid"/>
        <w:tblW w:w="0" w:type="auto"/>
        <w:tblInd w:w="108" w:type="dxa"/>
        <w:tblLook w:val="04A0" w:firstRow="1" w:lastRow="0" w:firstColumn="1" w:lastColumn="0" w:noHBand="0" w:noVBand="1"/>
      </w:tblPr>
      <w:tblGrid>
        <w:gridCol w:w="7074"/>
        <w:gridCol w:w="1857"/>
      </w:tblGrid>
      <w:tr w:rsidR="00B97DB6" w14:paraId="768A69E8" w14:textId="77777777" w:rsidTr="000237D5">
        <w:tc>
          <w:tcPr>
            <w:tcW w:w="7074" w:type="dxa"/>
          </w:tcPr>
          <w:p w14:paraId="04728D01" w14:textId="77777777" w:rsidR="000237D5" w:rsidRDefault="000237D5" w:rsidP="000237D5">
            <w:pPr>
              <w:jc w:val="center"/>
              <w:rPr>
                <w:rFonts w:ascii="Arial" w:hAnsi="Arial" w:cs="Arial"/>
                <w:b/>
                <w:sz w:val="24"/>
                <w:szCs w:val="24"/>
              </w:rPr>
            </w:pPr>
          </w:p>
          <w:p w14:paraId="15079727" w14:textId="4A8BC125" w:rsidR="00B97DB6" w:rsidRPr="00DA72BA" w:rsidRDefault="000237D5" w:rsidP="000237D5">
            <w:pPr>
              <w:jc w:val="center"/>
              <w:rPr>
                <w:rFonts w:ascii="Arial" w:hAnsi="Arial" w:cs="Arial"/>
                <w:b/>
                <w:sz w:val="24"/>
                <w:szCs w:val="24"/>
              </w:rPr>
            </w:pPr>
            <w:r>
              <w:rPr>
                <w:rFonts w:ascii="Arial" w:hAnsi="Arial" w:cs="Arial"/>
                <w:b/>
                <w:sz w:val="24"/>
                <w:szCs w:val="24"/>
              </w:rPr>
              <w:t>Prime Function</w:t>
            </w:r>
          </w:p>
        </w:tc>
        <w:tc>
          <w:tcPr>
            <w:tcW w:w="1857" w:type="dxa"/>
          </w:tcPr>
          <w:p w14:paraId="5F3E5D33" w14:textId="028A138C" w:rsidR="000237D5" w:rsidRPr="000237D5" w:rsidRDefault="000237D5" w:rsidP="000237D5">
            <w:pPr>
              <w:jc w:val="center"/>
              <w:rPr>
                <w:rFonts w:ascii="Arial" w:hAnsi="Arial" w:cs="Arial"/>
                <w:b/>
                <w:sz w:val="24"/>
                <w:szCs w:val="24"/>
              </w:rPr>
            </w:pPr>
            <w:r>
              <w:rPr>
                <w:rFonts w:ascii="Arial" w:hAnsi="Arial" w:cs="Arial"/>
                <w:b/>
                <w:sz w:val="24"/>
                <w:szCs w:val="24"/>
              </w:rPr>
              <w:t>Charge</w:t>
            </w:r>
            <w:r w:rsidR="00B97DB6">
              <w:rPr>
                <w:rFonts w:ascii="Arial" w:hAnsi="Arial" w:cs="Arial"/>
                <w:b/>
                <w:sz w:val="24"/>
                <w:szCs w:val="24"/>
              </w:rPr>
              <w:t xml:space="preserve"> to </w:t>
            </w:r>
            <w:r>
              <w:rPr>
                <w:rFonts w:ascii="Arial" w:hAnsi="Arial" w:cs="Arial"/>
                <w:b/>
                <w:sz w:val="24"/>
                <w:szCs w:val="24"/>
              </w:rPr>
              <w:t xml:space="preserve">the </w:t>
            </w:r>
            <w:r w:rsidR="00B97DB6">
              <w:rPr>
                <w:rFonts w:ascii="Arial" w:hAnsi="Arial" w:cs="Arial"/>
                <w:b/>
                <w:sz w:val="24"/>
                <w:szCs w:val="24"/>
              </w:rPr>
              <w:t>Subcontractor</w:t>
            </w:r>
          </w:p>
        </w:tc>
      </w:tr>
      <w:tr w:rsidR="00B97DB6" w14:paraId="598B5DC8" w14:textId="77777777" w:rsidTr="000237D5">
        <w:tc>
          <w:tcPr>
            <w:tcW w:w="7074" w:type="dxa"/>
          </w:tcPr>
          <w:p w14:paraId="055C9F45" w14:textId="77777777" w:rsidR="000237D5" w:rsidRDefault="000237D5" w:rsidP="00C53BFC">
            <w:pPr>
              <w:rPr>
                <w:rFonts w:ascii="Arial" w:hAnsi="Arial" w:cs="Arial"/>
                <w:sz w:val="24"/>
                <w:szCs w:val="24"/>
              </w:rPr>
            </w:pPr>
            <w:r>
              <w:rPr>
                <w:rFonts w:ascii="Arial" w:hAnsi="Arial" w:cs="Arial"/>
                <w:b/>
                <w:sz w:val="24"/>
                <w:szCs w:val="24"/>
              </w:rPr>
              <w:t>Management and Administration</w:t>
            </w:r>
            <w:r w:rsidRPr="00C53BFC">
              <w:rPr>
                <w:rFonts w:ascii="Arial" w:hAnsi="Arial" w:cs="Arial"/>
                <w:sz w:val="24"/>
                <w:szCs w:val="24"/>
              </w:rPr>
              <w:t xml:space="preserve"> </w:t>
            </w:r>
          </w:p>
          <w:p w14:paraId="1230D42D" w14:textId="4D56BD0F" w:rsidR="00C53BFC" w:rsidRDefault="00C53BFC" w:rsidP="00C53BFC">
            <w:pPr>
              <w:rPr>
                <w:rFonts w:ascii="Arial" w:hAnsi="Arial" w:cs="Arial"/>
                <w:sz w:val="24"/>
                <w:szCs w:val="24"/>
              </w:rPr>
            </w:pPr>
            <w:r w:rsidRPr="00C53BFC">
              <w:rPr>
                <w:rFonts w:ascii="Arial" w:hAnsi="Arial" w:cs="Arial"/>
                <w:sz w:val="24"/>
                <w:szCs w:val="24"/>
              </w:rPr>
              <w:t>This includes:</w:t>
            </w:r>
          </w:p>
          <w:p w14:paraId="643A470E" w14:textId="44BE97ED" w:rsidR="00DD3204" w:rsidRDefault="00DD3204" w:rsidP="00E64427">
            <w:pPr>
              <w:pStyle w:val="ListParagraph"/>
              <w:numPr>
                <w:ilvl w:val="0"/>
                <w:numId w:val="1"/>
              </w:numPr>
              <w:rPr>
                <w:rFonts w:ascii="Arial" w:hAnsi="Arial" w:cs="Arial"/>
                <w:sz w:val="24"/>
                <w:szCs w:val="24"/>
              </w:rPr>
            </w:pPr>
            <w:r>
              <w:rPr>
                <w:rFonts w:ascii="Arial" w:hAnsi="Arial" w:cs="Arial"/>
                <w:sz w:val="24"/>
                <w:szCs w:val="24"/>
              </w:rPr>
              <w:t>Due diligence and due d</w:t>
            </w:r>
            <w:r w:rsidRPr="007F3EC0">
              <w:rPr>
                <w:rFonts w:ascii="Arial" w:hAnsi="Arial" w:cs="Arial"/>
                <w:sz w:val="24"/>
                <w:szCs w:val="24"/>
              </w:rPr>
              <w:t>ili</w:t>
            </w:r>
            <w:r>
              <w:rPr>
                <w:rFonts w:ascii="Arial" w:hAnsi="Arial" w:cs="Arial"/>
                <w:sz w:val="24"/>
                <w:szCs w:val="24"/>
              </w:rPr>
              <w:t>gence refresh quality checks</w:t>
            </w:r>
          </w:p>
          <w:p w14:paraId="70057D2C" w14:textId="43A12F95" w:rsidR="00DD3204" w:rsidRDefault="00077ED9" w:rsidP="00E64427">
            <w:pPr>
              <w:pStyle w:val="ListParagraph"/>
              <w:numPr>
                <w:ilvl w:val="0"/>
                <w:numId w:val="1"/>
              </w:numPr>
              <w:rPr>
                <w:rFonts w:ascii="Arial" w:hAnsi="Arial" w:cs="Arial"/>
                <w:sz w:val="24"/>
                <w:szCs w:val="24"/>
              </w:rPr>
            </w:pPr>
            <w:r>
              <w:rPr>
                <w:rFonts w:ascii="Arial" w:hAnsi="Arial" w:cs="Arial"/>
                <w:sz w:val="24"/>
                <w:szCs w:val="24"/>
              </w:rPr>
              <w:t>Course code set-ups</w:t>
            </w:r>
          </w:p>
          <w:p w14:paraId="3480B153" w14:textId="481F81B6" w:rsidR="00C86303" w:rsidRDefault="00C86303" w:rsidP="00E64427">
            <w:pPr>
              <w:pStyle w:val="ListParagraph"/>
              <w:numPr>
                <w:ilvl w:val="0"/>
                <w:numId w:val="1"/>
              </w:numPr>
              <w:rPr>
                <w:rFonts w:ascii="Arial" w:hAnsi="Arial" w:cs="Arial"/>
                <w:sz w:val="24"/>
                <w:szCs w:val="24"/>
              </w:rPr>
            </w:pPr>
            <w:r>
              <w:rPr>
                <w:rFonts w:ascii="Arial" w:hAnsi="Arial" w:cs="Arial"/>
                <w:sz w:val="24"/>
                <w:szCs w:val="24"/>
              </w:rPr>
              <w:t>Enrolment of learners</w:t>
            </w:r>
          </w:p>
          <w:p w14:paraId="7E53DE07" w14:textId="6B33924E" w:rsidR="00C86303" w:rsidRDefault="00C86303" w:rsidP="00E64427">
            <w:pPr>
              <w:pStyle w:val="ListParagraph"/>
              <w:numPr>
                <w:ilvl w:val="0"/>
                <w:numId w:val="1"/>
              </w:numPr>
              <w:rPr>
                <w:rFonts w:ascii="Arial" w:hAnsi="Arial" w:cs="Arial"/>
                <w:sz w:val="24"/>
                <w:szCs w:val="24"/>
              </w:rPr>
            </w:pPr>
            <w:r w:rsidRPr="00DA72BA">
              <w:rPr>
                <w:rFonts w:ascii="Arial" w:hAnsi="Arial" w:cs="Arial"/>
                <w:sz w:val="24"/>
                <w:szCs w:val="24"/>
              </w:rPr>
              <w:t>Returning enrolment forms or other documents due to incorrect completion.</w:t>
            </w:r>
          </w:p>
          <w:p w14:paraId="404C7134" w14:textId="7D359EB1" w:rsidR="00077ED9" w:rsidRDefault="00077ED9" w:rsidP="00E64427">
            <w:pPr>
              <w:pStyle w:val="ListParagraph"/>
              <w:numPr>
                <w:ilvl w:val="0"/>
                <w:numId w:val="1"/>
              </w:numPr>
              <w:rPr>
                <w:rFonts w:ascii="Arial" w:hAnsi="Arial" w:cs="Arial"/>
                <w:sz w:val="24"/>
                <w:szCs w:val="24"/>
              </w:rPr>
            </w:pPr>
            <w:r>
              <w:rPr>
                <w:rFonts w:ascii="Arial" w:hAnsi="Arial" w:cs="Arial"/>
                <w:sz w:val="24"/>
                <w:szCs w:val="24"/>
              </w:rPr>
              <w:t>Checking the accuracy and quality of monthly returns</w:t>
            </w:r>
          </w:p>
          <w:p w14:paraId="628910AA" w14:textId="1AF6473E" w:rsidR="00DD3204" w:rsidRDefault="00DD3204" w:rsidP="00E64427">
            <w:pPr>
              <w:pStyle w:val="ListParagraph"/>
              <w:numPr>
                <w:ilvl w:val="0"/>
                <w:numId w:val="1"/>
              </w:numPr>
              <w:rPr>
                <w:rFonts w:ascii="Arial" w:hAnsi="Arial" w:cs="Arial"/>
                <w:sz w:val="24"/>
                <w:szCs w:val="24"/>
              </w:rPr>
            </w:pPr>
            <w:r>
              <w:rPr>
                <w:rFonts w:ascii="Arial" w:hAnsi="Arial" w:cs="Arial"/>
                <w:sz w:val="24"/>
                <w:szCs w:val="24"/>
              </w:rPr>
              <w:t>Monthly returns to the ESFA</w:t>
            </w:r>
          </w:p>
          <w:p w14:paraId="2B6C84F6" w14:textId="77777777" w:rsidR="00077ED9" w:rsidRPr="00DD3204" w:rsidRDefault="00077ED9" w:rsidP="00E64427">
            <w:pPr>
              <w:pStyle w:val="ListParagraph"/>
              <w:numPr>
                <w:ilvl w:val="0"/>
                <w:numId w:val="1"/>
              </w:numPr>
              <w:rPr>
                <w:rFonts w:ascii="Arial" w:hAnsi="Arial" w:cs="Arial"/>
                <w:sz w:val="24"/>
                <w:szCs w:val="24"/>
              </w:rPr>
            </w:pPr>
            <w:r w:rsidRPr="007F3EC0">
              <w:rPr>
                <w:rFonts w:ascii="Arial" w:hAnsi="Arial" w:cs="Arial"/>
                <w:sz w:val="24"/>
                <w:szCs w:val="24"/>
              </w:rPr>
              <w:t>Scheduling, monitorin</w:t>
            </w:r>
            <w:r>
              <w:rPr>
                <w:rFonts w:ascii="Arial" w:hAnsi="Arial" w:cs="Arial"/>
                <w:sz w:val="24"/>
                <w:szCs w:val="24"/>
              </w:rPr>
              <w:t>g and activating monthly</w:t>
            </w:r>
            <w:r w:rsidRPr="007F3EC0">
              <w:rPr>
                <w:rFonts w:ascii="Arial" w:hAnsi="Arial" w:cs="Arial"/>
                <w:sz w:val="24"/>
                <w:szCs w:val="24"/>
              </w:rPr>
              <w:t xml:space="preserve"> payments</w:t>
            </w:r>
          </w:p>
          <w:p w14:paraId="65E3C433" w14:textId="37B7FE61" w:rsidR="00DD3204" w:rsidRDefault="00DD3204" w:rsidP="00E64427">
            <w:pPr>
              <w:pStyle w:val="ListParagraph"/>
              <w:numPr>
                <w:ilvl w:val="0"/>
                <w:numId w:val="1"/>
              </w:numPr>
              <w:rPr>
                <w:rFonts w:ascii="Arial" w:hAnsi="Arial" w:cs="Arial"/>
                <w:sz w:val="24"/>
                <w:szCs w:val="24"/>
              </w:rPr>
            </w:pPr>
            <w:r w:rsidRPr="007F3EC0">
              <w:rPr>
                <w:rFonts w:ascii="Arial" w:hAnsi="Arial" w:cs="Arial"/>
                <w:sz w:val="24"/>
                <w:szCs w:val="24"/>
              </w:rPr>
              <w:t xml:space="preserve">Monthly performance monitoring meetings to cover </w:t>
            </w:r>
            <w:r w:rsidR="00077ED9">
              <w:rPr>
                <w:rFonts w:ascii="Arial" w:hAnsi="Arial" w:cs="Arial"/>
                <w:sz w:val="24"/>
                <w:szCs w:val="24"/>
              </w:rPr>
              <w:t>starts, progress of learners, attendance, breaks in learning, withdrawals, passes, achievements against profile and</w:t>
            </w:r>
            <w:r>
              <w:rPr>
                <w:rFonts w:ascii="Arial" w:hAnsi="Arial" w:cs="Arial"/>
                <w:sz w:val="24"/>
                <w:szCs w:val="24"/>
              </w:rPr>
              <w:t xml:space="preserve"> financial forecast</w:t>
            </w:r>
            <w:r w:rsidR="00077ED9">
              <w:rPr>
                <w:rFonts w:ascii="Arial" w:hAnsi="Arial" w:cs="Arial"/>
                <w:sz w:val="24"/>
                <w:szCs w:val="24"/>
              </w:rPr>
              <w:t>ing</w:t>
            </w:r>
            <w:r>
              <w:rPr>
                <w:rFonts w:ascii="Arial" w:hAnsi="Arial" w:cs="Arial"/>
                <w:sz w:val="24"/>
                <w:szCs w:val="24"/>
              </w:rPr>
              <w:t xml:space="preserve"> </w:t>
            </w:r>
          </w:p>
          <w:p w14:paraId="7864BCF3" w14:textId="4BB1A1B9" w:rsidR="00CD5476" w:rsidRDefault="00CD5476" w:rsidP="00E64427">
            <w:pPr>
              <w:pStyle w:val="ListParagraph"/>
              <w:numPr>
                <w:ilvl w:val="0"/>
                <w:numId w:val="1"/>
              </w:numPr>
              <w:rPr>
                <w:rFonts w:ascii="Arial" w:hAnsi="Arial" w:cs="Arial"/>
                <w:sz w:val="24"/>
                <w:szCs w:val="24"/>
              </w:rPr>
            </w:pPr>
            <w:r>
              <w:rPr>
                <w:rFonts w:ascii="Arial" w:hAnsi="Arial" w:cs="Arial"/>
                <w:sz w:val="24"/>
                <w:szCs w:val="24"/>
              </w:rPr>
              <w:t>Clawback for under delivery or for other reasons</w:t>
            </w:r>
          </w:p>
          <w:p w14:paraId="370DD734" w14:textId="3C1D7456" w:rsidR="00DD3204" w:rsidRPr="00DD3204" w:rsidRDefault="00DD3204" w:rsidP="00E64427">
            <w:pPr>
              <w:pStyle w:val="ListParagraph"/>
              <w:numPr>
                <w:ilvl w:val="0"/>
                <w:numId w:val="1"/>
              </w:numPr>
              <w:rPr>
                <w:rFonts w:ascii="Arial" w:hAnsi="Arial" w:cs="Arial"/>
                <w:sz w:val="24"/>
                <w:szCs w:val="24"/>
              </w:rPr>
            </w:pPr>
            <w:r w:rsidRPr="007F3EC0">
              <w:rPr>
                <w:rFonts w:ascii="Arial" w:hAnsi="Arial" w:cs="Arial"/>
                <w:sz w:val="24"/>
                <w:szCs w:val="24"/>
              </w:rPr>
              <w:t xml:space="preserve">Administrative support to ensure all paperwork is audit and ILR compliant and safely stored </w:t>
            </w:r>
            <w:r>
              <w:rPr>
                <w:rFonts w:ascii="Arial" w:hAnsi="Arial" w:cs="Arial"/>
                <w:sz w:val="24"/>
                <w:szCs w:val="24"/>
              </w:rPr>
              <w:t>and uploaded onto ESFA systems</w:t>
            </w:r>
          </w:p>
        </w:tc>
        <w:tc>
          <w:tcPr>
            <w:tcW w:w="1857" w:type="dxa"/>
          </w:tcPr>
          <w:p w14:paraId="2905AB5A" w14:textId="139FBB9F" w:rsidR="00B97DB6" w:rsidRDefault="000237D5" w:rsidP="00C86303">
            <w:pPr>
              <w:jc w:val="center"/>
              <w:rPr>
                <w:rFonts w:ascii="Arial" w:hAnsi="Arial" w:cs="Arial"/>
                <w:sz w:val="24"/>
                <w:szCs w:val="24"/>
              </w:rPr>
            </w:pPr>
            <w:r>
              <w:rPr>
                <w:rFonts w:ascii="Arial" w:hAnsi="Arial" w:cs="Arial"/>
                <w:sz w:val="24"/>
                <w:szCs w:val="24"/>
              </w:rPr>
              <w:t>10%</w:t>
            </w:r>
          </w:p>
        </w:tc>
      </w:tr>
      <w:tr w:rsidR="00DD3204" w14:paraId="29642CB8" w14:textId="77777777" w:rsidTr="000237D5">
        <w:tc>
          <w:tcPr>
            <w:tcW w:w="7074" w:type="dxa"/>
          </w:tcPr>
          <w:p w14:paraId="536E33EA" w14:textId="77777777" w:rsidR="000237D5" w:rsidRDefault="000237D5" w:rsidP="00C53BFC">
            <w:pPr>
              <w:rPr>
                <w:rFonts w:ascii="Arial" w:hAnsi="Arial" w:cs="Arial"/>
                <w:sz w:val="24"/>
                <w:szCs w:val="24"/>
              </w:rPr>
            </w:pPr>
            <w:r>
              <w:rPr>
                <w:rFonts w:ascii="Arial" w:hAnsi="Arial" w:cs="Arial"/>
                <w:b/>
                <w:sz w:val="24"/>
                <w:szCs w:val="24"/>
              </w:rPr>
              <w:t>Quality Assurance</w:t>
            </w:r>
            <w:r>
              <w:rPr>
                <w:rFonts w:ascii="Arial" w:hAnsi="Arial" w:cs="Arial"/>
                <w:sz w:val="24"/>
                <w:szCs w:val="24"/>
              </w:rPr>
              <w:t xml:space="preserve"> </w:t>
            </w:r>
          </w:p>
          <w:p w14:paraId="0FA55D49" w14:textId="45CA7EE2" w:rsidR="00DD3204" w:rsidRDefault="00DD3204" w:rsidP="00C53BFC">
            <w:pPr>
              <w:rPr>
                <w:rFonts w:ascii="Arial" w:hAnsi="Arial" w:cs="Arial"/>
                <w:sz w:val="24"/>
                <w:szCs w:val="24"/>
              </w:rPr>
            </w:pPr>
            <w:r>
              <w:rPr>
                <w:rFonts w:ascii="Arial" w:hAnsi="Arial" w:cs="Arial"/>
                <w:sz w:val="24"/>
                <w:szCs w:val="24"/>
              </w:rPr>
              <w:t>This includes:</w:t>
            </w:r>
          </w:p>
          <w:p w14:paraId="2E162714" w14:textId="6B1F9FB0" w:rsidR="00DD3204" w:rsidRPr="00077ED9" w:rsidRDefault="00DD3204" w:rsidP="00E64427">
            <w:pPr>
              <w:pStyle w:val="ListParagraph"/>
              <w:numPr>
                <w:ilvl w:val="0"/>
                <w:numId w:val="1"/>
              </w:numPr>
              <w:rPr>
                <w:rFonts w:ascii="Arial" w:hAnsi="Arial" w:cs="Arial"/>
                <w:sz w:val="24"/>
                <w:szCs w:val="24"/>
              </w:rPr>
            </w:pPr>
            <w:r w:rsidRPr="007F3EC0">
              <w:rPr>
                <w:rFonts w:ascii="Arial" w:hAnsi="Arial" w:cs="Arial"/>
                <w:sz w:val="24"/>
                <w:szCs w:val="24"/>
              </w:rPr>
              <w:t>Audit checks of files including managem</w:t>
            </w:r>
            <w:r>
              <w:rPr>
                <w:rFonts w:ascii="Arial" w:hAnsi="Arial" w:cs="Arial"/>
                <w:sz w:val="24"/>
                <w:szCs w:val="24"/>
              </w:rPr>
              <w:t>ent of funding agency audits</w:t>
            </w:r>
          </w:p>
          <w:p w14:paraId="4F2AF2CF" w14:textId="77777777" w:rsidR="00DD3204" w:rsidRDefault="00DD3204" w:rsidP="00E64427">
            <w:pPr>
              <w:pStyle w:val="ListParagraph"/>
              <w:numPr>
                <w:ilvl w:val="0"/>
                <w:numId w:val="1"/>
              </w:numPr>
              <w:rPr>
                <w:rFonts w:ascii="Arial" w:hAnsi="Arial" w:cs="Arial"/>
                <w:sz w:val="24"/>
                <w:szCs w:val="24"/>
              </w:rPr>
            </w:pPr>
            <w:r w:rsidRPr="007F3EC0">
              <w:rPr>
                <w:rFonts w:ascii="Arial" w:hAnsi="Arial" w:cs="Arial"/>
                <w:sz w:val="24"/>
                <w:szCs w:val="24"/>
              </w:rPr>
              <w:lastRenderedPageBreak/>
              <w:t>Monitoring visits, bot</w:t>
            </w:r>
            <w:r>
              <w:rPr>
                <w:rFonts w:ascii="Arial" w:hAnsi="Arial" w:cs="Arial"/>
                <w:sz w:val="24"/>
                <w:szCs w:val="24"/>
              </w:rPr>
              <w:t xml:space="preserve">h scheduled and un-scheduled </w:t>
            </w:r>
          </w:p>
          <w:p w14:paraId="0289E3F1" w14:textId="6A2AFB31" w:rsidR="00DD3204" w:rsidRDefault="00DD3204" w:rsidP="00E64427">
            <w:pPr>
              <w:pStyle w:val="ListParagraph"/>
              <w:numPr>
                <w:ilvl w:val="0"/>
                <w:numId w:val="1"/>
              </w:numPr>
              <w:rPr>
                <w:rFonts w:ascii="Arial" w:hAnsi="Arial" w:cs="Arial"/>
                <w:sz w:val="24"/>
                <w:szCs w:val="24"/>
              </w:rPr>
            </w:pPr>
            <w:r w:rsidRPr="007F3EC0">
              <w:rPr>
                <w:rFonts w:ascii="Arial" w:hAnsi="Arial" w:cs="Arial"/>
                <w:sz w:val="24"/>
                <w:szCs w:val="24"/>
              </w:rPr>
              <w:t xml:space="preserve">Observations of teaching, learning and assessment and other quality assurance support to ensure the consistency of high quality IAG, teaching </w:t>
            </w:r>
            <w:r>
              <w:rPr>
                <w:rFonts w:ascii="Arial" w:hAnsi="Arial" w:cs="Arial"/>
                <w:sz w:val="24"/>
                <w:szCs w:val="24"/>
              </w:rPr>
              <w:t xml:space="preserve">and </w:t>
            </w:r>
            <w:r w:rsidR="00077ED9">
              <w:rPr>
                <w:rFonts w:ascii="Arial" w:hAnsi="Arial" w:cs="Arial"/>
                <w:sz w:val="24"/>
                <w:szCs w:val="24"/>
              </w:rPr>
              <w:t xml:space="preserve">assessment </w:t>
            </w:r>
          </w:p>
          <w:p w14:paraId="55F86534" w14:textId="7FB15425" w:rsidR="00DD3204" w:rsidRDefault="00077ED9" w:rsidP="00E64427">
            <w:pPr>
              <w:pStyle w:val="ListParagraph"/>
              <w:numPr>
                <w:ilvl w:val="0"/>
                <w:numId w:val="1"/>
              </w:numPr>
              <w:rPr>
                <w:rFonts w:ascii="Arial" w:hAnsi="Arial" w:cs="Arial"/>
                <w:sz w:val="24"/>
                <w:szCs w:val="24"/>
              </w:rPr>
            </w:pPr>
            <w:r w:rsidRPr="00077ED9">
              <w:rPr>
                <w:rFonts w:ascii="Arial" w:hAnsi="Arial" w:cs="Arial"/>
                <w:sz w:val="24"/>
                <w:szCs w:val="24"/>
              </w:rPr>
              <w:t xml:space="preserve">Learner </w:t>
            </w:r>
            <w:r w:rsidR="00DD3204" w:rsidRPr="00077ED9">
              <w:rPr>
                <w:rFonts w:ascii="Arial" w:hAnsi="Arial" w:cs="Arial"/>
                <w:sz w:val="24"/>
                <w:szCs w:val="24"/>
              </w:rPr>
              <w:t xml:space="preserve">surveys </w:t>
            </w:r>
          </w:p>
          <w:p w14:paraId="50F61ABB" w14:textId="0C6C6B8D" w:rsidR="00077ED9" w:rsidRPr="00077ED9" w:rsidRDefault="00077ED9" w:rsidP="00E64427">
            <w:pPr>
              <w:pStyle w:val="ListParagraph"/>
              <w:numPr>
                <w:ilvl w:val="0"/>
                <w:numId w:val="1"/>
              </w:numPr>
              <w:rPr>
                <w:rFonts w:ascii="Arial" w:hAnsi="Arial" w:cs="Arial"/>
                <w:sz w:val="24"/>
                <w:szCs w:val="24"/>
              </w:rPr>
            </w:pPr>
            <w:r>
              <w:rPr>
                <w:rFonts w:ascii="Arial" w:hAnsi="Arial" w:cs="Arial"/>
                <w:sz w:val="24"/>
                <w:szCs w:val="24"/>
              </w:rPr>
              <w:t>Remedial support</w:t>
            </w:r>
          </w:p>
          <w:p w14:paraId="59912CDE" w14:textId="0EA27A3D" w:rsidR="00DD3204" w:rsidRPr="00C86303" w:rsidRDefault="00C86303" w:rsidP="00E64427">
            <w:pPr>
              <w:pStyle w:val="ListParagraph"/>
              <w:numPr>
                <w:ilvl w:val="0"/>
                <w:numId w:val="1"/>
              </w:numPr>
              <w:rPr>
                <w:rFonts w:ascii="Arial" w:hAnsi="Arial" w:cs="Arial"/>
                <w:sz w:val="24"/>
                <w:szCs w:val="24"/>
              </w:rPr>
            </w:pPr>
            <w:r>
              <w:rPr>
                <w:rFonts w:ascii="Arial" w:hAnsi="Arial" w:cs="Arial"/>
                <w:sz w:val="24"/>
                <w:szCs w:val="24"/>
              </w:rPr>
              <w:t>Staff development</w:t>
            </w:r>
          </w:p>
        </w:tc>
        <w:tc>
          <w:tcPr>
            <w:tcW w:w="1857" w:type="dxa"/>
          </w:tcPr>
          <w:p w14:paraId="31732521" w14:textId="643C860E" w:rsidR="00DD3204" w:rsidRDefault="000237D5" w:rsidP="00C86303">
            <w:pPr>
              <w:jc w:val="center"/>
              <w:rPr>
                <w:rFonts w:ascii="Arial" w:hAnsi="Arial" w:cs="Arial"/>
                <w:sz w:val="24"/>
                <w:szCs w:val="24"/>
              </w:rPr>
            </w:pPr>
            <w:r>
              <w:rPr>
                <w:rFonts w:ascii="Arial" w:hAnsi="Arial" w:cs="Arial"/>
                <w:sz w:val="24"/>
                <w:szCs w:val="24"/>
              </w:rPr>
              <w:lastRenderedPageBreak/>
              <w:t>10</w:t>
            </w:r>
            <w:r w:rsidR="00C86303">
              <w:rPr>
                <w:rFonts w:ascii="Arial" w:hAnsi="Arial" w:cs="Arial"/>
                <w:sz w:val="24"/>
                <w:szCs w:val="24"/>
              </w:rPr>
              <w:t>%</w:t>
            </w:r>
          </w:p>
        </w:tc>
      </w:tr>
      <w:tr w:rsidR="00B97DB6" w14:paraId="15B164FA" w14:textId="77777777" w:rsidTr="000237D5">
        <w:tc>
          <w:tcPr>
            <w:tcW w:w="7074" w:type="dxa"/>
          </w:tcPr>
          <w:p w14:paraId="7FA1E59D" w14:textId="77777777" w:rsidR="00B97DB6" w:rsidRDefault="00CD5476" w:rsidP="00CD5476">
            <w:pPr>
              <w:rPr>
                <w:rFonts w:ascii="Arial" w:hAnsi="Arial" w:cs="Arial"/>
                <w:b/>
                <w:sz w:val="24"/>
                <w:szCs w:val="24"/>
              </w:rPr>
            </w:pPr>
            <w:r>
              <w:rPr>
                <w:rFonts w:ascii="Arial" w:hAnsi="Arial" w:cs="Arial"/>
                <w:b/>
                <w:sz w:val="24"/>
                <w:szCs w:val="24"/>
              </w:rPr>
              <w:lastRenderedPageBreak/>
              <w:t>Additional Services</w:t>
            </w:r>
          </w:p>
          <w:p w14:paraId="4B38C293" w14:textId="77777777" w:rsidR="000237D5" w:rsidRPr="00DD5A31" w:rsidRDefault="000237D5" w:rsidP="00DD5A31">
            <w:pPr>
              <w:pStyle w:val="ListParagraph"/>
              <w:numPr>
                <w:ilvl w:val="0"/>
                <w:numId w:val="21"/>
              </w:numPr>
              <w:rPr>
                <w:rFonts w:ascii="Arial" w:hAnsi="Arial" w:cs="Arial"/>
                <w:sz w:val="24"/>
                <w:szCs w:val="24"/>
              </w:rPr>
            </w:pPr>
            <w:r w:rsidRPr="00DD5A31">
              <w:rPr>
                <w:rFonts w:ascii="Arial" w:hAnsi="Arial" w:cs="Arial"/>
                <w:sz w:val="24"/>
                <w:szCs w:val="24"/>
              </w:rPr>
              <w:t>Registration of learners with awarding body using RTA centre number</w:t>
            </w:r>
          </w:p>
          <w:p w14:paraId="5B8D547F" w14:textId="77777777" w:rsidR="000237D5" w:rsidRPr="00DD5A31" w:rsidRDefault="000237D5" w:rsidP="00DD5A31">
            <w:pPr>
              <w:pStyle w:val="ListParagraph"/>
              <w:numPr>
                <w:ilvl w:val="0"/>
                <w:numId w:val="21"/>
              </w:numPr>
              <w:rPr>
                <w:rFonts w:ascii="Arial" w:hAnsi="Arial" w:cs="Arial"/>
                <w:sz w:val="24"/>
                <w:szCs w:val="24"/>
              </w:rPr>
            </w:pPr>
            <w:r w:rsidRPr="00DD5A31">
              <w:rPr>
                <w:rFonts w:ascii="Arial" w:hAnsi="Arial" w:cs="Arial"/>
                <w:sz w:val="24"/>
                <w:szCs w:val="24"/>
              </w:rPr>
              <w:t>Certification of learners with awarding body</w:t>
            </w:r>
          </w:p>
          <w:p w14:paraId="57EF76D5" w14:textId="77777777" w:rsidR="000237D5" w:rsidRPr="00DD5A31" w:rsidRDefault="000237D5" w:rsidP="00DD5A31">
            <w:pPr>
              <w:pStyle w:val="ListParagraph"/>
              <w:numPr>
                <w:ilvl w:val="0"/>
                <w:numId w:val="21"/>
              </w:numPr>
              <w:rPr>
                <w:rFonts w:ascii="Arial" w:hAnsi="Arial" w:cs="Arial"/>
                <w:sz w:val="24"/>
                <w:szCs w:val="24"/>
              </w:rPr>
            </w:pPr>
            <w:r w:rsidRPr="00DD5A31">
              <w:rPr>
                <w:rFonts w:ascii="Arial" w:hAnsi="Arial" w:cs="Arial"/>
                <w:sz w:val="24"/>
                <w:szCs w:val="24"/>
              </w:rPr>
              <w:t>Internal verification</w:t>
            </w:r>
          </w:p>
          <w:p w14:paraId="7B4B45B7" w14:textId="77777777" w:rsidR="000237D5" w:rsidRPr="000237D5" w:rsidRDefault="000237D5" w:rsidP="000237D5">
            <w:pPr>
              <w:rPr>
                <w:rFonts w:ascii="Arial" w:hAnsi="Arial" w:cs="Arial"/>
                <w:sz w:val="24"/>
                <w:szCs w:val="24"/>
              </w:rPr>
            </w:pPr>
          </w:p>
          <w:p w14:paraId="00F2B41F" w14:textId="12D04DE4" w:rsidR="000237D5" w:rsidRPr="00DD5A31" w:rsidRDefault="000237D5" w:rsidP="000237D5">
            <w:pPr>
              <w:pStyle w:val="ListParagraph"/>
              <w:numPr>
                <w:ilvl w:val="0"/>
                <w:numId w:val="21"/>
              </w:numPr>
              <w:rPr>
                <w:rFonts w:ascii="Arial" w:hAnsi="Arial" w:cs="Arial"/>
                <w:sz w:val="24"/>
                <w:szCs w:val="24"/>
              </w:rPr>
            </w:pPr>
            <w:r w:rsidRPr="00DD5A31">
              <w:rPr>
                <w:rFonts w:ascii="Arial" w:hAnsi="Arial" w:cs="Arial"/>
                <w:sz w:val="24"/>
                <w:szCs w:val="24"/>
              </w:rPr>
              <w:t>Self-Assessment Report / Quality Improvement Plan not completed on time, in full or to a</w:t>
            </w:r>
            <w:r w:rsidR="00DD5A31">
              <w:rPr>
                <w:rFonts w:ascii="Arial" w:hAnsi="Arial" w:cs="Arial"/>
                <w:sz w:val="24"/>
                <w:szCs w:val="24"/>
              </w:rPr>
              <w:t xml:space="preserve"> </w:t>
            </w:r>
            <w:r w:rsidRPr="00DD5A31">
              <w:rPr>
                <w:rFonts w:ascii="Arial" w:hAnsi="Arial" w:cs="Arial"/>
                <w:sz w:val="24"/>
                <w:szCs w:val="24"/>
              </w:rPr>
              <w:t>satisfactory standard</w:t>
            </w:r>
          </w:p>
          <w:p w14:paraId="7BB24BB3" w14:textId="53B90BAA" w:rsidR="000237D5" w:rsidRPr="00DA72BA" w:rsidRDefault="000237D5" w:rsidP="00CD5476">
            <w:pPr>
              <w:rPr>
                <w:rFonts w:ascii="Arial" w:hAnsi="Arial" w:cs="Arial"/>
                <w:b/>
                <w:sz w:val="24"/>
                <w:szCs w:val="24"/>
              </w:rPr>
            </w:pPr>
          </w:p>
        </w:tc>
        <w:tc>
          <w:tcPr>
            <w:tcW w:w="1857" w:type="dxa"/>
          </w:tcPr>
          <w:p w14:paraId="0D619BD7" w14:textId="77777777" w:rsidR="000237D5" w:rsidRPr="000237D5" w:rsidRDefault="000237D5" w:rsidP="000237D5">
            <w:pPr>
              <w:rPr>
                <w:rFonts w:ascii="Arial" w:hAnsi="Arial" w:cs="Arial"/>
                <w:sz w:val="24"/>
                <w:szCs w:val="24"/>
              </w:rPr>
            </w:pPr>
          </w:p>
          <w:p w14:paraId="74A43974" w14:textId="77777777" w:rsidR="000237D5" w:rsidRPr="000237D5" w:rsidRDefault="000237D5" w:rsidP="000237D5">
            <w:pPr>
              <w:rPr>
                <w:rFonts w:ascii="Arial" w:hAnsi="Arial" w:cs="Arial"/>
                <w:sz w:val="24"/>
                <w:szCs w:val="24"/>
              </w:rPr>
            </w:pPr>
            <w:r w:rsidRPr="000237D5">
              <w:rPr>
                <w:rFonts w:ascii="Arial" w:hAnsi="Arial" w:cs="Arial"/>
                <w:sz w:val="24"/>
                <w:szCs w:val="24"/>
              </w:rPr>
              <w:t>Cost plus 10%</w:t>
            </w:r>
          </w:p>
          <w:p w14:paraId="600001A0" w14:textId="77777777" w:rsidR="000237D5" w:rsidRDefault="000237D5" w:rsidP="000237D5">
            <w:pPr>
              <w:rPr>
                <w:rFonts w:ascii="Arial" w:hAnsi="Arial" w:cs="Arial"/>
                <w:sz w:val="24"/>
                <w:szCs w:val="24"/>
              </w:rPr>
            </w:pPr>
          </w:p>
          <w:p w14:paraId="5B3D19BD" w14:textId="77777777" w:rsidR="000237D5" w:rsidRPr="000237D5" w:rsidRDefault="000237D5" w:rsidP="000237D5">
            <w:pPr>
              <w:rPr>
                <w:rFonts w:ascii="Arial" w:hAnsi="Arial" w:cs="Arial"/>
                <w:sz w:val="24"/>
                <w:szCs w:val="24"/>
              </w:rPr>
            </w:pPr>
            <w:r w:rsidRPr="000237D5">
              <w:rPr>
                <w:rFonts w:ascii="Arial" w:hAnsi="Arial" w:cs="Arial"/>
                <w:sz w:val="24"/>
                <w:szCs w:val="24"/>
              </w:rPr>
              <w:t>Cost plus 10%</w:t>
            </w:r>
          </w:p>
          <w:p w14:paraId="52115894" w14:textId="77777777" w:rsidR="000237D5" w:rsidRPr="000237D5" w:rsidRDefault="000237D5" w:rsidP="000237D5">
            <w:pPr>
              <w:rPr>
                <w:rFonts w:ascii="Arial" w:hAnsi="Arial" w:cs="Arial"/>
                <w:sz w:val="24"/>
                <w:szCs w:val="24"/>
              </w:rPr>
            </w:pPr>
            <w:r w:rsidRPr="000237D5">
              <w:rPr>
                <w:rFonts w:ascii="Arial" w:hAnsi="Arial" w:cs="Arial"/>
                <w:sz w:val="24"/>
                <w:szCs w:val="24"/>
              </w:rPr>
              <w:t>£40 per hour plus VAT</w:t>
            </w:r>
          </w:p>
          <w:p w14:paraId="020F07F8" w14:textId="11BE8195" w:rsidR="000237D5" w:rsidRDefault="000237D5" w:rsidP="00AC0675">
            <w:pPr>
              <w:rPr>
                <w:rFonts w:ascii="Arial" w:hAnsi="Arial" w:cs="Arial"/>
                <w:sz w:val="24"/>
                <w:szCs w:val="24"/>
              </w:rPr>
            </w:pPr>
            <w:r w:rsidRPr="000237D5">
              <w:rPr>
                <w:rFonts w:ascii="Arial" w:hAnsi="Arial" w:cs="Arial"/>
                <w:sz w:val="24"/>
                <w:szCs w:val="24"/>
              </w:rPr>
              <w:t>£50 per hour consultancy support plus VAT</w:t>
            </w:r>
          </w:p>
        </w:tc>
      </w:tr>
    </w:tbl>
    <w:p w14:paraId="04791036" w14:textId="77777777" w:rsidR="000237D5" w:rsidRDefault="000237D5" w:rsidP="006112EF">
      <w:pPr>
        <w:rPr>
          <w:rFonts w:ascii="Arial" w:hAnsi="Arial" w:cs="Arial"/>
          <w:b/>
          <w:sz w:val="24"/>
          <w:szCs w:val="24"/>
        </w:rPr>
      </w:pPr>
    </w:p>
    <w:p w14:paraId="11BEA94B" w14:textId="6DE5CE2B" w:rsidR="008C63E6" w:rsidRDefault="00B97DB6" w:rsidP="006112EF">
      <w:pPr>
        <w:rPr>
          <w:rFonts w:ascii="Arial" w:hAnsi="Arial" w:cs="Arial"/>
          <w:sz w:val="24"/>
          <w:szCs w:val="24"/>
        </w:rPr>
      </w:pPr>
      <w:r w:rsidRPr="007F3EC0">
        <w:rPr>
          <w:rFonts w:ascii="Arial" w:hAnsi="Arial" w:cs="Arial"/>
          <w:sz w:val="24"/>
          <w:szCs w:val="24"/>
        </w:rPr>
        <w:t xml:space="preserve">Payments </w:t>
      </w:r>
      <w:r w:rsidR="00CD5476">
        <w:rPr>
          <w:rFonts w:ascii="Arial" w:hAnsi="Arial" w:cs="Arial"/>
          <w:sz w:val="24"/>
          <w:szCs w:val="24"/>
        </w:rPr>
        <w:t>to subcontractors</w:t>
      </w:r>
      <w:r>
        <w:rPr>
          <w:rFonts w:ascii="Arial" w:hAnsi="Arial" w:cs="Arial"/>
          <w:sz w:val="24"/>
          <w:szCs w:val="24"/>
        </w:rPr>
        <w:t xml:space="preserve"> will be made 30 days</w:t>
      </w:r>
      <w:r w:rsidRPr="007F3EC0">
        <w:rPr>
          <w:rFonts w:ascii="Arial" w:hAnsi="Arial" w:cs="Arial"/>
          <w:sz w:val="24"/>
          <w:szCs w:val="24"/>
        </w:rPr>
        <w:t xml:space="preserve"> in arrears, based on the Provider Funding Report (PFR). A checklist of key dates and deadlines for paperwork to be received for inclusion in the return to the Education and Skills Funding Agency will be provided by the Group.  </w:t>
      </w:r>
    </w:p>
    <w:p w14:paraId="003ED325" w14:textId="400B5B10" w:rsidR="00715C46" w:rsidRDefault="00715C46" w:rsidP="007F3EC0">
      <w:pPr>
        <w:rPr>
          <w:rFonts w:ascii="Arial" w:hAnsi="Arial" w:cs="Arial"/>
          <w:b/>
          <w:sz w:val="24"/>
          <w:szCs w:val="24"/>
        </w:rPr>
      </w:pPr>
      <w:r>
        <w:rPr>
          <w:rFonts w:ascii="Arial" w:hAnsi="Arial" w:cs="Arial"/>
          <w:b/>
          <w:sz w:val="24"/>
          <w:szCs w:val="24"/>
        </w:rPr>
        <w:t>10. Reporting</w:t>
      </w:r>
    </w:p>
    <w:p w14:paraId="00E9A849" w14:textId="6582FEDB" w:rsidR="00715C46" w:rsidRPr="008C63E6" w:rsidRDefault="008C63E6" w:rsidP="00715C46">
      <w:pPr>
        <w:rPr>
          <w:rFonts w:ascii="Arial" w:hAnsi="Arial" w:cs="Arial"/>
          <w:b/>
          <w:sz w:val="24"/>
          <w:szCs w:val="24"/>
        </w:rPr>
      </w:pPr>
      <w:r w:rsidRPr="008C63E6">
        <w:rPr>
          <w:rFonts w:ascii="Arial" w:hAnsi="Arial" w:cs="Arial"/>
          <w:sz w:val="24"/>
          <w:szCs w:val="24"/>
        </w:rPr>
        <w:t>RTA will</w:t>
      </w:r>
      <w:r w:rsidR="00715C46" w:rsidRPr="00715C46">
        <w:rPr>
          <w:rFonts w:ascii="Arial" w:hAnsi="Arial" w:cs="Arial"/>
          <w:sz w:val="24"/>
          <w:szCs w:val="24"/>
        </w:rPr>
        <w:t xml:space="preserve"> record subcontracted provision in line with the published gu</w:t>
      </w:r>
      <w:r>
        <w:rPr>
          <w:rFonts w:ascii="Arial" w:hAnsi="Arial" w:cs="Arial"/>
          <w:sz w:val="24"/>
          <w:szCs w:val="24"/>
        </w:rPr>
        <w:t>idance for</w:t>
      </w:r>
      <w:r w:rsidR="00715C46" w:rsidRPr="00715C46">
        <w:rPr>
          <w:rFonts w:ascii="Arial" w:hAnsi="Arial" w:cs="Arial"/>
          <w:sz w:val="24"/>
          <w:szCs w:val="24"/>
        </w:rPr>
        <w:t xml:space="preserve"> ILR data returns.</w:t>
      </w:r>
    </w:p>
    <w:p w14:paraId="2DD89404" w14:textId="38F2CF22" w:rsidR="00715C46" w:rsidRPr="00715C46" w:rsidRDefault="008C63E6" w:rsidP="00715C46">
      <w:pPr>
        <w:rPr>
          <w:rFonts w:ascii="Arial" w:hAnsi="Arial" w:cs="Arial"/>
          <w:sz w:val="24"/>
          <w:szCs w:val="24"/>
        </w:rPr>
      </w:pPr>
      <w:r>
        <w:rPr>
          <w:rFonts w:ascii="Arial" w:hAnsi="Arial" w:cs="Arial"/>
          <w:sz w:val="24"/>
          <w:szCs w:val="24"/>
        </w:rPr>
        <w:t xml:space="preserve">RTA will </w:t>
      </w:r>
      <w:r w:rsidR="00715C46" w:rsidRPr="00715C46">
        <w:rPr>
          <w:rFonts w:ascii="Arial" w:hAnsi="Arial" w:cs="Arial"/>
          <w:sz w:val="24"/>
          <w:szCs w:val="24"/>
        </w:rPr>
        <w:t>submit a fully completed subcontractor declaration twice</w:t>
      </w:r>
      <w:r>
        <w:rPr>
          <w:rFonts w:ascii="Arial" w:hAnsi="Arial" w:cs="Arial"/>
          <w:sz w:val="24"/>
          <w:szCs w:val="24"/>
        </w:rPr>
        <w:t xml:space="preserve"> during the academic year. The</w:t>
      </w:r>
      <w:r w:rsidR="00715C46">
        <w:rPr>
          <w:rFonts w:ascii="Arial" w:hAnsi="Arial" w:cs="Arial"/>
          <w:sz w:val="24"/>
          <w:szCs w:val="24"/>
        </w:rPr>
        <w:t xml:space="preserve"> </w:t>
      </w:r>
      <w:r>
        <w:rPr>
          <w:rFonts w:ascii="Arial" w:hAnsi="Arial" w:cs="Arial"/>
          <w:sz w:val="24"/>
          <w:szCs w:val="24"/>
        </w:rPr>
        <w:t>first declaration will</w:t>
      </w:r>
      <w:r w:rsidR="00715C46" w:rsidRPr="00715C46">
        <w:rPr>
          <w:rFonts w:ascii="Arial" w:hAnsi="Arial" w:cs="Arial"/>
          <w:sz w:val="24"/>
          <w:szCs w:val="24"/>
        </w:rPr>
        <w:t xml:space="preserve"> be made by </w:t>
      </w:r>
      <w:r w:rsidR="00317110">
        <w:rPr>
          <w:rFonts w:ascii="Arial" w:hAnsi="Arial" w:cs="Arial"/>
          <w:sz w:val="24"/>
          <w:szCs w:val="24"/>
        </w:rPr>
        <w:t xml:space="preserve">the </w:t>
      </w:r>
      <w:r w:rsidR="00715C46" w:rsidRPr="00715C46">
        <w:rPr>
          <w:rFonts w:ascii="Arial" w:hAnsi="Arial" w:cs="Arial"/>
          <w:sz w:val="24"/>
          <w:szCs w:val="24"/>
        </w:rPr>
        <w:t>31</w:t>
      </w:r>
      <w:r w:rsidR="00317110">
        <w:rPr>
          <w:rFonts w:ascii="Arial" w:hAnsi="Arial" w:cs="Arial"/>
          <w:sz w:val="24"/>
          <w:szCs w:val="24"/>
        </w:rPr>
        <w:t>st</w:t>
      </w:r>
      <w:r w:rsidR="00715C46" w:rsidRPr="00715C46">
        <w:rPr>
          <w:rFonts w:ascii="Arial" w:hAnsi="Arial" w:cs="Arial"/>
          <w:sz w:val="24"/>
          <w:szCs w:val="24"/>
        </w:rPr>
        <w:t xml:space="preserve"> </w:t>
      </w:r>
      <w:r>
        <w:rPr>
          <w:rFonts w:ascii="Arial" w:hAnsi="Arial" w:cs="Arial"/>
          <w:sz w:val="24"/>
          <w:szCs w:val="24"/>
        </w:rPr>
        <w:t>October, forecasting</w:t>
      </w:r>
      <w:r w:rsidR="00715C46">
        <w:rPr>
          <w:rFonts w:ascii="Arial" w:hAnsi="Arial" w:cs="Arial"/>
          <w:sz w:val="24"/>
          <w:szCs w:val="24"/>
        </w:rPr>
        <w:t xml:space="preserve"> </w:t>
      </w:r>
      <w:r w:rsidR="00715C46" w:rsidRPr="00715C46">
        <w:rPr>
          <w:rFonts w:ascii="Arial" w:hAnsi="Arial" w:cs="Arial"/>
          <w:sz w:val="24"/>
          <w:szCs w:val="24"/>
        </w:rPr>
        <w:t xml:space="preserve">subcontracting arrangements for the 2024 to </w:t>
      </w:r>
      <w:r>
        <w:rPr>
          <w:rFonts w:ascii="Arial" w:hAnsi="Arial" w:cs="Arial"/>
          <w:sz w:val="24"/>
          <w:szCs w:val="24"/>
        </w:rPr>
        <w:t>2025 academic year. The</w:t>
      </w:r>
      <w:r w:rsidR="00715C46">
        <w:rPr>
          <w:rFonts w:ascii="Arial" w:hAnsi="Arial" w:cs="Arial"/>
          <w:sz w:val="24"/>
          <w:szCs w:val="24"/>
        </w:rPr>
        <w:t xml:space="preserve"> second </w:t>
      </w:r>
      <w:r>
        <w:rPr>
          <w:rFonts w:ascii="Arial" w:hAnsi="Arial" w:cs="Arial"/>
          <w:sz w:val="24"/>
          <w:szCs w:val="24"/>
        </w:rPr>
        <w:t>declaration will</w:t>
      </w:r>
      <w:r w:rsidR="00715C46" w:rsidRPr="00715C46">
        <w:rPr>
          <w:rFonts w:ascii="Arial" w:hAnsi="Arial" w:cs="Arial"/>
          <w:sz w:val="24"/>
          <w:szCs w:val="24"/>
        </w:rPr>
        <w:t xml:space="preserve"> be made by </w:t>
      </w:r>
      <w:r w:rsidR="00317110">
        <w:rPr>
          <w:rFonts w:ascii="Arial" w:hAnsi="Arial" w:cs="Arial"/>
          <w:sz w:val="24"/>
          <w:szCs w:val="24"/>
        </w:rPr>
        <w:t xml:space="preserve">the </w:t>
      </w:r>
      <w:r w:rsidR="00715C46" w:rsidRPr="00715C46">
        <w:rPr>
          <w:rFonts w:ascii="Arial" w:hAnsi="Arial" w:cs="Arial"/>
          <w:sz w:val="24"/>
          <w:szCs w:val="24"/>
        </w:rPr>
        <w:t>30</w:t>
      </w:r>
      <w:r w:rsidR="00317110">
        <w:rPr>
          <w:rFonts w:ascii="Arial" w:hAnsi="Arial" w:cs="Arial"/>
          <w:sz w:val="24"/>
          <w:szCs w:val="24"/>
        </w:rPr>
        <w:t>th</w:t>
      </w:r>
      <w:r w:rsidR="00715C46" w:rsidRPr="00715C46">
        <w:rPr>
          <w:rFonts w:ascii="Arial" w:hAnsi="Arial" w:cs="Arial"/>
          <w:sz w:val="24"/>
          <w:szCs w:val="24"/>
        </w:rPr>
        <w:t xml:space="preserve"> </w:t>
      </w:r>
      <w:r>
        <w:rPr>
          <w:rFonts w:ascii="Arial" w:hAnsi="Arial" w:cs="Arial"/>
          <w:sz w:val="24"/>
          <w:szCs w:val="24"/>
        </w:rPr>
        <w:t xml:space="preserve">June, </w:t>
      </w:r>
      <w:r w:rsidR="00715C46" w:rsidRPr="00715C46">
        <w:rPr>
          <w:rFonts w:ascii="Arial" w:hAnsi="Arial" w:cs="Arial"/>
          <w:sz w:val="24"/>
          <w:szCs w:val="24"/>
        </w:rPr>
        <w:t>co</w:t>
      </w:r>
      <w:r w:rsidR="00715C46">
        <w:rPr>
          <w:rFonts w:ascii="Arial" w:hAnsi="Arial" w:cs="Arial"/>
          <w:sz w:val="24"/>
          <w:szCs w:val="24"/>
        </w:rPr>
        <w:t>nfirm</w:t>
      </w:r>
      <w:r>
        <w:rPr>
          <w:rFonts w:ascii="Arial" w:hAnsi="Arial" w:cs="Arial"/>
          <w:sz w:val="24"/>
          <w:szCs w:val="24"/>
        </w:rPr>
        <w:t xml:space="preserve">ing </w:t>
      </w:r>
      <w:r w:rsidR="00715C46">
        <w:rPr>
          <w:rFonts w:ascii="Arial" w:hAnsi="Arial" w:cs="Arial"/>
          <w:sz w:val="24"/>
          <w:szCs w:val="24"/>
        </w:rPr>
        <w:t xml:space="preserve">our total subcontracting </w:t>
      </w:r>
      <w:r w:rsidR="00715C46" w:rsidRPr="00715C46">
        <w:rPr>
          <w:rFonts w:ascii="Arial" w:hAnsi="Arial" w:cs="Arial"/>
          <w:sz w:val="24"/>
          <w:szCs w:val="24"/>
        </w:rPr>
        <w:t xml:space="preserve">arrangements for the 2024 to 2025 academic year. </w:t>
      </w:r>
    </w:p>
    <w:p w14:paraId="3BD473CE" w14:textId="16530221" w:rsidR="00715C46" w:rsidRPr="00715C46" w:rsidRDefault="008C63E6" w:rsidP="00715C46">
      <w:pPr>
        <w:rPr>
          <w:rFonts w:ascii="Arial" w:hAnsi="Arial" w:cs="Arial"/>
          <w:sz w:val="24"/>
          <w:szCs w:val="24"/>
        </w:rPr>
      </w:pPr>
      <w:r>
        <w:rPr>
          <w:rFonts w:ascii="Arial" w:hAnsi="Arial" w:cs="Arial"/>
          <w:sz w:val="24"/>
          <w:szCs w:val="24"/>
        </w:rPr>
        <w:t xml:space="preserve">RTA will </w:t>
      </w:r>
      <w:r w:rsidR="00715C46" w:rsidRPr="00715C46">
        <w:rPr>
          <w:rFonts w:ascii="Arial" w:hAnsi="Arial" w:cs="Arial"/>
          <w:sz w:val="24"/>
          <w:szCs w:val="24"/>
        </w:rPr>
        <w:t xml:space="preserve">update </w:t>
      </w:r>
      <w:r>
        <w:rPr>
          <w:rFonts w:ascii="Arial" w:hAnsi="Arial" w:cs="Arial"/>
          <w:sz w:val="24"/>
          <w:szCs w:val="24"/>
        </w:rPr>
        <w:t>its</w:t>
      </w:r>
      <w:r w:rsidR="00715C46" w:rsidRPr="00715C46">
        <w:rPr>
          <w:rFonts w:ascii="Arial" w:hAnsi="Arial" w:cs="Arial"/>
          <w:sz w:val="24"/>
          <w:szCs w:val="24"/>
        </w:rPr>
        <w:t xml:space="preserve"> subcontractor dec</w:t>
      </w:r>
      <w:r>
        <w:rPr>
          <w:rFonts w:ascii="Arial" w:hAnsi="Arial" w:cs="Arial"/>
          <w:sz w:val="24"/>
          <w:szCs w:val="24"/>
        </w:rPr>
        <w:t>laration if our</w:t>
      </w:r>
      <w:r w:rsidR="00715C46">
        <w:rPr>
          <w:rFonts w:ascii="Arial" w:hAnsi="Arial" w:cs="Arial"/>
          <w:sz w:val="24"/>
          <w:szCs w:val="24"/>
        </w:rPr>
        <w:t xml:space="preserve"> subcontracting </w:t>
      </w:r>
      <w:r w:rsidR="00715C46" w:rsidRPr="00715C46">
        <w:rPr>
          <w:rFonts w:ascii="Arial" w:hAnsi="Arial" w:cs="Arial"/>
          <w:sz w:val="24"/>
          <w:szCs w:val="24"/>
        </w:rPr>
        <w:t>arrangements chan</w:t>
      </w:r>
      <w:r>
        <w:rPr>
          <w:rFonts w:ascii="Arial" w:hAnsi="Arial" w:cs="Arial"/>
          <w:sz w:val="24"/>
          <w:szCs w:val="24"/>
        </w:rPr>
        <w:t xml:space="preserve">ge during the year via </w:t>
      </w:r>
      <w:r w:rsidR="00715C46" w:rsidRPr="00715C46">
        <w:rPr>
          <w:rFonts w:ascii="Arial" w:hAnsi="Arial" w:cs="Arial"/>
          <w:sz w:val="24"/>
          <w:szCs w:val="24"/>
        </w:rPr>
        <w:t>our MYESF (M</w:t>
      </w:r>
      <w:r w:rsidR="00715C46">
        <w:rPr>
          <w:rFonts w:ascii="Arial" w:hAnsi="Arial" w:cs="Arial"/>
          <w:sz w:val="24"/>
          <w:szCs w:val="24"/>
        </w:rPr>
        <w:t xml:space="preserve">anage Your </w:t>
      </w:r>
      <w:r w:rsidR="00715C46" w:rsidRPr="00715C46">
        <w:rPr>
          <w:rFonts w:ascii="Arial" w:hAnsi="Arial" w:cs="Arial"/>
          <w:sz w:val="24"/>
          <w:szCs w:val="24"/>
        </w:rPr>
        <w:t>Education and Skills Funding) account.</w:t>
      </w:r>
    </w:p>
    <w:p w14:paraId="732D7087" w14:textId="0622EAC4" w:rsidR="007F2AF2" w:rsidRDefault="00721972" w:rsidP="007F3EC0">
      <w:pPr>
        <w:rPr>
          <w:rFonts w:ascii="Arial" w:hAnsi="Arial" w:cs="Arial"/>
          <w:b/>
          <w:sz w:val="24"/>
          <w:szCs w:val="24"/>
        </w:rPr>
      </w:pPr>
      <w:r>
        <w:rPr>
          <w:rFonts w:ascii="Arial" w:hAnsi="Arial" w:cs="Arial"/>
          <w:b/>
          <w:sz w:val="24"/>
          <w:szCs w:val="24"/>
        </w:rPr>
        <w:t>11</w:t>
      </w:r>
      <w:r w:rsidR="007F3EC0">
        <w:rPr>
          <w:rFonts w:ascii="Arial" w:hAnsi="Arial" w:cs="Arial"/>
          <w:b/>
          <w:sz w:val="24"/>
          <w:szCs w:val="24"/>
        </w:rPr>
        <w:t xml:space="preserve">. </w:t>
      </w:r>
      <w:r w:rsidR="00F20224" w:rsidRPr="007F3EC0">
        <w:rPr>
          <w:rFonts w:ascii="Arial" w:hAnsi="Arial" w:cs="Arial"/>
          <w:b/>
          <w:sz w:val="24"/>
          <w:szCs w:val="24"/>
        </w:rPr>
        <w:t xml:space="preserve">Status </w:t>
      </w:r>
      <w:r>
        <w:rPr>
          <w:rFonts w:ascii="Arial" w:hAnsi="Arial" w:cs="Arial"/>
          <w:b/>
          <w:sz w:val="24"/>
          <w:szCs w:val="24"/>
        </w:rPr>
        <w:t xml:space="preserve">and Publication </w:t>
      </w:r>
      <w:r w:rsidR="00F20224" w:rsidRPr="007F3EC0">
        <w:rPr>
          <w:rFonts w:ascii="Arial" w:hAnsi="Arial" w:cs="Arial"/>
          <w:b/>
          <w:sz w:val="24"/>
          <w:szCs w:val="24"/>
        </w:rPr>
        <w:t>of This Policy</w:t>
      </w:r>
    </w:p>
    <w:p w14:paraId="5B26C511" w14:textId="04E6C1A7" w:rsidR="005A2671" w:rsidRDefault="00094DCA" w:rsidP="009A2941">
      <w:pPr>
        <w:rPr>
          <w:rFonts w:ascii="Arial" w:hAnsi="Arial" w:cs="Arial"/>
          <w:sz w:val="24"/>
          <w:szCs w:val="24"/>
        </w:rPr>
      </w:pPr>
      <w:r>
        <w:rPr>
          <w:rFonts w:ascii="Arial" w:hAnsi="Arial" w:cs="Arial"/>
          <w:sz w:val="24"/>
          <w:szCs w:val="24"/>
        </w:rPr>
        <w:t>This policy will be to be reviewed by RTA’s governing body and our accounting officer, the senior person responsible,</w:t>
      </w:r>
      <w:r w:rsidR="007F2AF2" w:rsidRPr="007F2AF2">
        <w:rPr>
          <w:rFonts w:ascii="Arial" w:hAnsi="Arial" w:cs="Arial"/>
          <w:sz w:val="24"/>
          <w:szCs w:val="24"/>
        </w:rPr>
        <w:t xml:space="preserve"> ahead of each funding y</w:t>
      </w:r>
      <w:r>
        <w:rPr>
          <w:rFonts w:ascii="Arial" w:hAnsi="Arial" w:cs="Arial"/>
          <w:sz w:val="24"/>
          <w:szCs w:val="24"/>
        </w:rPr>
        <w:t xml:space="preserve">ear </w:t>
      </w:r>
      <w:r w:rsidR="007F2AF2" w:rsidRPr="007F2AF2">
        <w:rPr>
          <w:rFonts w:ascii="Arial" w:hAnsi="Arial" w:cs="Arial"/>
          <w:sz w:val="24"/>
          <w:szCs w:val="24"/>
        </w:rPr>
        <w:t>and signed off by those charged with overall responsibility</w:t>
      </w:r>
      <w:r>
        <w:rPr>
          <w:rFonts w:ascii="Arial" w:hAnsi="Arial" w:cs="Arial"/>
          <w:sz w:val="24"/>
          <w:szCs w:val="24"/>
        </w:rPr>
        <w:t>.</w:t>
      </w:r>
      <w:r w:rsidR="007F2AF2" w:rsidRPr="007F2AF2">
        <w:rPr>
          <w:rFonts w:ascii="Arial" w:hAnsi="Arial" w:cs="Arial"/>
          <w:sz w:val="24"/>
          <w:szCs w:val="24"/>
        </w:rPr>
        <w:t xml:space="preserve"> Once r</w:t>
      </w:r>
      <w:r w:rsidR="00DD5A31">
        <w:rPr>
          <w:rFonts w:ascii="Arial" w:hAnsi="Arial" w:cs="Arial"/>
          <w:sz w:val="24"/>
          <w:szCs w:val="24"/>
        </w:rPr>
        <w:t>eviewed, the updated policy will</w:t>
      </w:r>
      <w:r w:rsidR="007F2AF2" w:rsidRPr="007F2AF2">
        <w:rPr>
          <w:rFonts w:ascii="Arial" w:hAnsi="Arial" w:cs="Arial"/>
          <w:sz w:val="24"/>
          <w:szCs w:val="24"/>
        </w:rPr>
        <w:t xml:space="preserve"> be published by 31 October each year.</w:t>
      </w:r>
    </w:p>
    <w:p w14:paraId="13E05D7F" w14:textId="77777777" w:rsidR="00DD5A31" w:rsidRDefault="00DD5A31" w:rsidP="009A2941">
      <w:pPr>
        <w:rPr>
          <w:rFonts w:ascii="Arial" w:hAnsi="Arial" w:cs="Arial"/>
          <w:sz w:val="24"/>
          <w:szCs w:val="24"/>
        </w:rPr>
      </w:pPr>
    </w:p>
    <w:p w14:paraId="216F8F8E" w14:textId="77777777" w:rsidR="00DD5A31" w:rsidRDefault="00DD5A31" w:rsidP="009A2941">
      <w:pPr>
        <w:rPr>
          <w:rFonts w:ascii="Arial" w:hAnsi="Arial" w:cs="Arial"/>
          <w:sz w:val="24"/>
          <w:szCs w:val="24"/>
        </w:rPr>
      </w:pPr>
    </w:p>
    <w:tbl>
      <w:tblPr>
        <w:tblStyle w:val="TableGrid"/>
        <w:tblW w:w="0" w:type="auto"/>
        <w:tblLook w:val="04A0" w:firstRow="1" w:lastRow="0" w:firstColumn="1" w:lastColumn="0" w:noHBand="0" w:noVBand="1"/>
      </w:tblPr>
      <w:tblGrid>
        <w:gridCol w:w="4621"/>
        <w:gridCol w:w="4621"/>
      </w:tblGrid>
      <w:tr w:rsidR="00DD5A31" w14:paraId="08AE060D" w14:textId="77777777" w:rsidTr="00DD5A31">
        <w:tc>
          <w:tcPr>
            <w:tcW w:w="9242" w:type="dxa"/>
            <w:gridSpan w:val="2"/>
          </w:tcPr>
          <w:p w14:paraId="5196F92E" w14:textId="77777777" w:rsidR="00DD5A31" w:rsidRDefault="00DD5A31" w:rsidP="00DD5A31">
            <w:pPr>
              <w:jc w:val="center"/>
              <w:rPr>
                <w:rFonts w:ascii="Arial" w:hAnsi="Arial" w:cs="Arial"/>
                <w:b/>
                <w:sz w:val="24"/>
                <w:szCs w:val="24"/>
              </w:rPr>
            </w:pPr>
          </w:p>
          <w:p w14:paraId="0135D160" w14:textId="27E23846" w:rsidR="00DD5A31" w:rsidRPr="00DD5A31" w:rsidRDefault="00DD5A31" w:rsidP="00DD5A31">
            <w:pPr>
              <w:jc w:val="center"/>
              <w:rPr>
                <w:rFonts w:ascii="Arial" w:hAnsi="Arial" w:cs="Arial"/>
                <w:b/>
                <w:sz w:val="24"/>
                <w:szCs w:val="24"/>
              </w:rPr>
            </w:pPr>
            <w:r w:rsidRPr="00DD5A31">
              <w:rPr>
                <w:rFonts w:ascii="Arial" w:hAnsi="Arial" w:cs="Arial"/>
                <w:b/>
                <w:sz w:val="24"/>
                <w:szCs w:val="24"/>
              </w:rPr>
              <w:t>Approved</w:t>
            </w:r>
          </w:p>
        </w:tc>
      </w:tr>
      <w:tr w:rsidR="00DD5A31" w14:paraId="6E856FCA" w14:textId="77777777" w:rsidTr="00DD5A31">
        <w:tc>
          <w:tcPr>
            <w:tcW w:w="4621" w:type="dxa"/>
          </w:tcPr>
          <w:p w14:paraId="2C9591C0" w14:textId="4473200F" w:rsidR="00DD5A31" w:rsidRPr="00DD5A31" w:rsidRDefault="00DD5A31" w:rsidP="009A2941">
            <w:pPr>
              <w:rPr>
                <w:rFonts w:ascii="Arial" w:hAnsi="Arial" w:cs="Arial"/>
                <w:b/>
                <w:sz w:val="24"/>
                <w:szCs w:val="24"/>
              </w:rPr>
            </w:pPr>
            <w:r w:rsidRPr="00DD5A31">
              <w:rPr>
                <w:rFonts w:ascii="Arial" w:hAnsi="Arial" w:cs="Arial"/>
                <w:b/>
                <w:sz w:val="24"/>
                <w:szCs w:val="24"/>
              </w:rPr>
              <w:t>Name (Print)</w:t>
            </w:r>
          </w:p>
          <w:p w14:paraId="01052EB2" w14:textId="77777777" w:rsidR="00DD5A31" w:rsidRPr="00DD5A31" w:rsidRDefault="00DD5A31" w:rsidP="009A2941">
            <w:pPr>
              <w:rPr>
                <w:rFonts w:ascii="Arial" w:hAnsi="Arial" w:cs="Arial"/>
                <w:b/>
                <w:sz w:val="24"/>
                <w:szCs w:val="24"/>
              </w:rPr>
            </w:pPr>
          </w:p>
          <w:p w14:paraId="4FD508A3" w14:textId="3C4970C1" w:rsidR="00DD5A31" w:rsidRPr="00DD5A31" w:rsidRDefault="00DD5A31" w:rsidP="009A2941">
            <w:pPr>
              <w:rPr>
                <w:rFonts w:ascii="Arial" w:hAnsi="Arial" w:cs="Arial"/>
                <w:b/>
                <w:sz w:val="24"/>
                <w:szCs w:val="24"/>
              </w:rPr>
            </w:pPr>
          </w:p>
        </w:tc>
        <w:tc>
          <w:tcPr>
            <w:tcW w:w="4621" w:type="dxa"/>
          </w:tcPr>
          <w:p w14:paraId="29D7C267" w14:textId="77777777" w:rsidR="00DD5A31" w:rsidRPr="00DD5A31" w:rsidRDefault="00DD5A31" w:rsidP="009A2941">
            <w:pPr>
              <w:rPr>
                <w:rFonts w:ascii="Arial" w:hAnsi="Arial" w:cs="Arial"/>
                <w:b/>
                <w:sz w:val="24"/>
                <w:szCs w:val="24"/>
              </w:rPr>
            </w:pPr>
            <w:r w:rsidRPr="00DD5A31">
              <w:rPr>
                <w:rFonts w:ascii="Arial" w:hAnsi="Arial" w:cs="Arial"/>
                <w:b/>
                <w:sz w:val="24"/>
                <w:szCs w:val="24"/>
              </w:rPr>
              <w:t>Signature</w:t>
            </w:r>
          </w:p>
          <w:p w14:paraId="5549A463" w14:textId="77777777" w:rsidR="00DD5A31" w:rsidRPr="00DD5A31" w:rsidRDefault="00DD5A31" w:rsidP="009A2941">
            <w:pPr>
              <w:rPr>
                <w:rFonts w:ascii="Arial" w:hAnsi="Arial" w:cs="Arial"/>
                <w:b/>
                <w:sz w:val="24"/>
                <w:szCs w:val="24"/>
              </w:rPr>
            </w:pPr>
          </w:p>
          <w:p w14:paraId="053441EF" w14:textId="77777777" w:rsidR="00DD5A31" w:rsidRPr="00DD5A31" w:rsidRDefault="00DD5A31" w:rsidP="009A2941">
            <w:pPr>
              <w:rPr>
                <w:rFonts w:ascii="Arial" w:hAnsi="Arial" w:cs="Arial"/>
                <w:b/>
                <w:sz w:val="24"/>
                <w:szCs w:val="24"/>
              </w:rPr>
            </w:pPr>
          </w:p>
          <w:p w14:paraId="3AB93726" w14:textId="4AE0B6F5" w:rsidR="00DD5A31" w:rsidRPr="00DD5A31" w:rsidRDefault="00DD5A31" w:rsidP="009A2941">
            <w:pPr>
              <w:rPr>
                <w:rFonts w:ascii="Arial" w:hAnsi="Arial" w:cs="Arial"/>
                <w:b/>
                <w:sz w:val="24"/>
                <w:szCs w:val="24"/>
              </w:rPr>
            </w:pPr>
          </w:p>
        </w:tc>
      </w:tr>
      <w:tr w:rsidR="00DD5A31" w14:paraId="395DFE70" w14:textId="77777777" w:rsidTr="00DD5A31">
        <w:tc>
          <w:tcPr>
            <w:tcW w:w="4621" w:type="dxa"/>
          </w:tcPr>
          <w:p w14:paraId="59BE8859" w14:textId="77777777" w:rsidR="00DD5A31" w:rsidRPr="00DD5A31" w:rsidRDefault="00DD5A31" w:rsidP="009A2941">
            <w:pPr>
              <w:rPr>
                <w:rFonts w:ascii="Arial" w:hAnsi="Arial" w:cs="Arial"/>
                <w:b/>
                <w:sz w:val="24"/>
                <w:szCs w:val="24"/>
              </w:rPr>
            </w:pPr>
            <w:r w:rsidRPr="00DD5A31">
              <w:rPr>
                <w:rFonts w:ascii="Arial" w:hAnsi="Arial" w:cs="Arial"/>
                <w:b/>
                <w:sz w:val="24"/>
                <w:szCs w:val="24"/>
              </w:rPr>
              <w:t>Position in RTA</w:t>
            </w:r>
          </w:p>
          <w:p w14:paraId="7D81A98D" w14:textId="77777777" w:rsidR="00DD5A31" w:rsidRPr="00DD5A31" w:rsidRDefault="00DD5A31" w:rsidP="009A2941">
            <w:pPr>
              <w:rPr>
                <w:rFonts w:ascii="Arial" w:hAnsi="Arial" w:cs="Arial"/>
                <w:b/>
                <w:sz w:val="24"/>
                <w:szCs w:val="24"/>
              </w:rPr>
            </w:pPr>
          </w:p>
          <w:p w14:paraId="725283A6" w14:textId="77777777" w:rsidR="00DD5A31" w:rsidRPr="00DD5A31" w:rsidRDefault="00DD5A31" w:rsidP="009A2941">
            <w:pPr>
              <w:rPr>
                <w:rFonts w:ascii="Arial" w:hAnsi="Arial" w:cs="Arial"/>
                <w:b/>
                <w:sz w:val="24"/>
                <w:szCs w:val="24"/>
              </w:rPr>
            </w:pPr>
          </w:p>
          <w:p w14:paraId="5863A202" w14:textId="40D22ABE" w:rsidR="00DD5A31" w:rsidRPr="00DD5A31" w:rsidRDefault="00DD5A31" w:rsidP="009A2941">
            <w:pPr>
              <w:rPr>
                <w:rFonts w:ascii="Arial" w:hAnsi="Arial" w:cs="Arial"/>
                <w:b/>
                <w:sz w:val="24"/>
                <w:szCs w:val="24"/>
              </w:rPr>
            </w:pPr>
          </w:p>
        </w:tc>
        <w:tc>
          <w:tcPr>
            <w:tcW w:w="4621" w:type="dxa"/>
          </w:tcPr>
          <w:p w14:paraId="014B1B2B" w14:textId="62917A34" w:rsidR="00DD5A31" w:rsidRPr="00DD5A31" w:rsidRDefault="00DD5A31" w:rsidP="009A2941">
            <w:pPr>
              <w:rPr>
                <w:rFonts w:ascii="Arial" w:hAnsi="Arial" w:cs="Arial"/>
                <w:b/>
                <w:sz w:val="24"/>
                <w:szCs w:val="24"/>
              </w:rPr>
            </w:pPr>
            <w:r w:rsidRPr="00DD5A31">
              <w:rPr>
                <w:rFonts w:ascii="Arial" w:hAnsi="Arial" w:cs="Arial"/>
                <w:b/>
                <w:sz w:val="24"/>
                <w:szCs w:val="24"/>
              </w:rPr>
              <w:t>Date</w:t>
            </w:r>
          </w:p>
        </w:tc>
      </w:tr>
      <w:tr w:rsidR="00DD5A31" w14:paraId="6589D254" w14:textId="77777777" w:rsidTr="00DD5A31">
        <w:tc>
          <w:tcPr>
            <w:tcW w:w="9242" w:type="dxa"/>
            <w:gridSpan w:val="2"/>
          </w:tcPr>
          <w:p w14:paraId="552E1FE1" w14:textId="7356DE51" w:rsidR="00DD5A31" w:rsidRPr="00AF4CE6" w:rsidRDefault="00DD5A31" w:rsidP="009A2941">
            <w:pPr>
              <w:rPr>
                <w:rFonts w:ascii="Arial" w:hAnsi="Arial" w:cs="Arial"/>
                <w:sz w:val="20"/>
                <w:szCs w:val="20"/>
              </w:rPr>
            </w:pPr>
            <w:r w:rsidRPr="00AF4CE6">
              <w:rPr>
                <w:rFonts w:ascii="Arial" w:hAnsi="Arial" w:cs="Arial"/>
                <w:sz w:val="20"/>
                <w:szCs w:val="20"/>
              </w:rPr>
              <w:t>Version: 19022025</w:t>
            </w:r>
          </w:p>
        </w:tc>
      </w:tr>
    </w:tbl>
    <w:p w14:paraId="5C48DD4C" w14:textId="77777777" w:rsidR="00DD5A31" w:rsidRDefault="00DD5A31" w:rsidP="009A2941">
      <w:pPr>
        <w:rPr>
          <w:rFonts w:ascii="Arial" w:hAnsi="Arial" w:cs="Arial"/>
          <w:sz w:val="24"/>
          <w:szCs w:val="24"/>
        </w:rPr>
      </w:pPr>
    </w:p>
    <w:p w14:paraId="725E92A9" w14:textId="77777777" w:rsidR="00DD5A31" w:rsidRPr="009A2941" w:rsidRDefault="00DD5A31" w:rsidP="009A2941">
      <w:pPr>
        <w:rPr>
          <w:rFonts w:ascii="Arial" w:hAnsi="Arial" w:cs="Arial"/>
          <w:sz w:val="24"/>
          <w:szCs w:val="24"/>
        </w:rPr>
      </w:pPr>
    </w:p>
    <w:sectPr w:rsidR="00DD5A31" w:rsidRPr="009A29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EAD21" w14:textId="77777777" w:rsidR="008A0B45" w:rsidRDefault="008A0B45" w:rsidP="00D30C9D">
      <w:pPr>
        <w:spacing w:after="0" w:line="240" w:lineRule="auto"/>
      </w:pPr>
      <w:r>
        <w:separator/>
      </w:r>
    </w:p>
  </w:endnote>
  <w:endnote w:type="continuationSeparator" w:id="0">
    <w:p w14:paraId="2F825A48" w14:textId="77777777" w:rsidR="008A0B45" w:rsidRDefault="008A0B45" w:rsidP="00D3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048658"/>
      <w:docPartObj>
        <w:docPartGallery w:val="Page Numbers (Bottom of Page)"/>
        <w:docPartUnique/>
      </w:docPartObj>
    </w:sdtPr>
    <w:sdtEndPr>
      <w:rPr>
        <w:noProof/>
      </w:rPr>
    </w:sdtEndPr>
    <w:sdtContent>
      <w:p w14:paraId="68D688C8" w14:textId="0125BB21" w:rsidR="000B6704" w:rsidRDefault="000B6704">
        <w:pPr>
          <w:pStyle w:val="Footer"/>
          <w:jc w:val="center"/>
        </w:pPr>
        <w:r>
          <w:fldChar w:fldCharType="begin"/>
        </w:r>
        <w:r>
          <w:instrText xml:space="preserve"> PAGE   \* MERGEFORMAT </w:instrText>
        </w:r>
        <w:r>
          <w:fldChar w:fldCharType="separate"/>
        </w:r>
        <w:r w:rsidR="00D34FCB">
          <w:rPr>
            <w:noProof/>
          </w:rPr>
          <w:t>1</w:t>
        </w:r>
        <w:r>
          <w:rPr>
            <w:noProof/>
          </w:rPr>
          <w:fldChar w:fldCharType="end"/>
        </w:r>
      </w:p>
    </w:sdtContent>
  </w:sdt>
  <w:p w14:paraId="3C9D0093" w14:textId="77777777" w:rsidR="000B6704" w:rsidRDefault="000B6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A3189" w14:textId="77777777" w:rsidR="008A0B45" w:rsidRDefault="008A0B45" w:rsidP="00D30C9D">
      <w:pPr>
        <w:spacing w:after="0" w:line="240" w:lineRule="auto"/>
      </w:pPr>
      <w:r>
        <w:separator/>
      </w:r>
    </w:p>
  </w:footnote>
  <w:footnote w:type="continuationSeparator" w:id="0">
    <w:p w14:paraId="569A7758" w14:textId="77777777" w:rsidR="008A0B45" w:rsidRDefault="008A0B45" w:rsidP="00D30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D38DA" w14:textId="77777777" w:rsidR="000B6704" w:rsidRPr="00D30C9D" w:rsidRDefault="000B6704" w:rsidP="00D30C9D">
    <w:pPr>
      <w:pStyle w:val="Header"/>
    </w:pPr>
    <w:r>
      <w:rPr>
        <w:noProof/>
        <w:lang w:eastAsia="en-GB"/>
      </w:rPr>
      <w:drawing>
        <wp:anchor distT="0" distB="0" distL="114300" distR="114300" simplePos="0" relativeHeight="251658240" behindDoc="0" locked="0" layoutInCell="1" allowOverlap="1" wp14:anchorId="072119DC" wp14:editId="1BE9CB6A">
          <wp:simplePos x="0" y="0"/>
          <wp:positionH relativeFrom="column">
            <wp:posOffset>4665980</wp:posOffset>
          </wp:positionH>
          <wp:positionV relativeFrom="paragraph">
            <wp:posOffset>-321310</wp:posOffset>
          </wp:positionV>
          <wp:extent cx="1529080" cy="514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ynol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908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6BAB"/>
    <w:multiLevelType w:val="hybridMultilevel"/>
    <w:tmpl w:val="75E8B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36376F"/>
    <w:multiLevelType w:val="hybridMultilevel"/>
    <w:tmpl w:val="97A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082BFD"/>
    <w:multiLevelType w:val="hybridMultilevel"/>
    <w:tmpl w:val="404A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BA54E6"/>
    <w:multiLevelType w:val="hybridMultilevel"/>
    <w:tmpl w:val="6F349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BC27F0A"/>
    <w:multiLevelType w:val="hybridMultilevel"/>
    <w:tmpl w:val="DDE4F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2C57BE4"/>
    <w:multiLevelType w:val="hybridMultilevel"/>
    <w:tmpl w:val="99E20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C055BA1"/>
    <w:multiLevelType w:val="hybridMultilevel"/>
    <w:tmpl w:val="DD42F0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6944FF4"/>
    <w:multiLevelType w:val="hybridMultilevel"/>
    <w:tmpl w:val="2222B7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F581D8F"/>
    <w:multiLevelType w:val="hybridMultilevel"/>
    <w:tmpl w:val="6EC4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3F497D"/>
    <w:multiLevelType w:val="hybridMultilevel"/>
    <w:tmpl w:val="F96E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CF3B60"/>
    <w:multiLevelType w:val="hybridMultilevel"/>
    <w:tmpl w:val="2A766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35E0304"/>
    <w:multiLevelType w:val="hybridMultilevel"/>
    <w:tmpl w:val="A3161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3856373"/>
    <w:multiLevelType w:val="hybridMultilevel"/>
    <w:tmpl w:val="F7B2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2D56C0"/>
    <w:multiLevelType w:val="hybridMultilevel"/>
    <w:tmpl w:val="A6E0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7157F9"/>
    <w:multiLevelType w:val="hybridMultilevel"/>
    <w:tmpl w:val="88DE2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7E77198"/>
    <w:multiLevelType w:val="hybridMultilevel"/>
    <w:tmpl w:val="DBDC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EA0738"/>
    <w:multiLevelType w:val="hybridMultilevel"/>
    <w:tmpl w:val="82266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9528C8"/>
    <w:multiLevelType w:val="hybridMultilevel"/>
    <w:tmpl w:val="8A067D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5D44DF4"/>
    <w:multiLevelType w:val="hybridMultilevel"/>
    <w:tmpl w:val="78BA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4D03F3"/>
    <w:multiLevelType w:val="hybridMultilevel"/>
    <w:tmpl w:val="6486E182"/>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0">
    <w:nsid w:val="76AA16F8"/>
    <w:multiLevelType w:val="hybridMultilevel"/>
    <w:tmpl w:val="DE841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13"/>
  </w:num>
  <w:num w:numId="4">
    <w:abstractNumId w:val="18"/>
  </w:num>
  <w:num w:numId="5">
    <w:abstractNumId w:val="8"/>
  </w:num>
  <w:num w:numId="6">
    <w:abstractNumId w:val="16"/>
  </w:num>
  <w:num w:numId="7">
    <w:abstractNumId w:val="7"/>
  </w:num>
  <w:num w:numId="8">
    <w:abstractNumId w:val="3"/>
  </w:num>
  <w:num w:numId="9">
    <w:abstractNumId w:val="5"/>
  </w:num>
  <w:num w:numId="10">
    <w:abstractNumId w:val="10"/>
  </w:num>
  <w:num w:numId="11">
    <w:abstractNumId w:val="19"/>
  </w:num>
  <w:num w:numId="12">
    <w:abstractNumId w:val="14"/>
  </w:num>
  <w:num w:numId="13">
    <w:abstractNumId w:val="0"/>
  </w:num>
  <w:num w:numId="14">
    <w:abstractNumId w:val="11"/>
  </w:num>
  <w:num w:numId="15">
    <w:abstractNumId w:val="9"/>
  </w:num>
  <w:num w:numId="16">
    <w:abstractNumId w:val="1"/>
  </w:num>
  <w:num w:numId="17">
    <w:abstractNumId w:val="17"/>
  </w:num>
  <w:num w:numId="18">
    <w:abstractNumId w:val="4"/>
  </w:num>
  <w:num w:numId="19">
    <w:abstractNumId w:val="20"/>
  </w:num>
  <w:num w:numId="20">
    <w:abstractNumId w:val="6"/>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19"/>
    <w:rsid w:val="000237D5"/>
    <w:rsid w:val="00077ED9"/>
    <w:rsid w:val="00094DCA"/>
    <w:rsid w:val="000B6704"/>
    <w:rsid w:val="000E0652"/>
    <w:rsid w:val="000E301E"/>
    <w:rsid w:val="000E6648"/>
    <w:rsid w:val="000F08A3"/>
    <w:rsid w:val="001B2499"/>
    <w:rsid w:val="001B6DD7"/>
    <w:rsid w:val="00210A28"/>
    <w:rsid w:val="0027243E"/>
    <w:rsid w:val="00287573"/>
    <w:rsid w:val="00295FAC"/>
    <w:rsid w:val="00317110"/>
    <w:rsid w:val="00355E1C"/>
    <w:rsid w:val="00370B8A"/>
    <w:rsid w:val="0039132F"/>
    <w:rsid w:val="003931C0"/>
    <w:rsid w:val="003A646F"/>
    <w:rsid w:val="003B3819"/>
    <w:rsid w:val="003C0E2D"/>
    <w:rsid w:val="00441260"/>
    <w:rsid w:val="00464F61"/>
    <w:rsid w:val="00465EE0"/>
    <w:rsid w:val="004809CF"/>
    <w:rsid w:val="00490B19"/>
    <w:rsid w:val="004946D6"/>
    <w:rsid w:val="004F2FB3"/>
    <w:rsid w:val="005131AB"/>
    <w:rsid w:val="00523405"/>
    <w:rsid w:val="005A2671"/>
    <w:rsid w:val="005A471E"/>
    <w:rsid w:val="005B418B"/>
    <w:rsid w:val="005E1379"/>
    <w:rsid w:val="005F5CEB"/>
    <w:rsid w:val="006112EF"/>
    <w:rsid w:val="00617EFA"/>
    <w:rsid w:val="00663308"/>
    <w:rsid w:val="00684569"/>
    <w:rsid w:val="00692502"/>
    <w:rsid w:val="006D5CD0"/>
    <w:rsid w:val="006F04CA"/>
    <w:rsid w:val="00711644"/>
    <w:rsid w:val="00715C46"/>
    <w:rsid w:val="00721972"/>
    <w:rsid w:val="00721C4B"/>
    <w:rsid w:val="00742D56"/>
    <w:rsid w:val="007437CB"/>
    <w:rsid w:val="00770384"/>
    <w:rsid w:val="00790EB2"/>
    <w:rsid w:val="007A0968"/>
    <w:rsid w:val="007A4A42"/>
    <w:rsid w:val="007F2AF2"/>
    <w:rsid w:val="007F3EC0"/>
    <w:rsid w:val="008003A6"/>
    <w:rsid w:val="008176DC"/>
    <w:rsid w:val="0083041D"/>
    <w:rsid w:val="008652F4"/>
    <w:rsid w:val="008A0B45"/>
    <w:rsid w:val="008A2952"/>
    <w:rsid w:val="008C2941"/>
    <w:rsid w:val="008C63E6"/>
    <w:rsid w:val="008E233C"/>
    <w:rsid w:val="008E7505"/>
    <w:rsid w:val="008F167A"/>
    <w:rsid w:val="0096019D"/>
    <w:rsid w:val="00970768"/>
    <w:rsid w:val="009A2941"/>
    <w:rsid w:val="009E6423"/>
    <w:rsid w:val="00A34023"/>
    <w:rsid w:val="00A457C8"/>
    <w:rsid w:val="00A6249F"/>
    <w:rsid w:val="00AA7060"/>
    <w:rsid w:val="00AB26E1"/>
    <w:rsid w:val="00AC621A"/>
    <w:rsid w:val="00AE5B3A"/>
    <w:rsid w:val="00AF4CE6"/>
    <w:rsid w:val="00B25226"/>
    <w:rsid w:val="00B616DE"/>
    <w:rsid w:val="00B844A3"/>
    <w:rsid w:val="00B97DB6"/>
    <w:rsid w:val="00BB535A"/>
    <w:rsid w:val="00C47F3C"/>
    <w:rsid w:val="00C53BFC"/>
    <w:rsid w:val="00C579F5"/>
    <w:rsid w:val="00C627AF"/>
    <w:rsid w:val="00C86303"/>
    <w:rsid w:val="00CD5476"/>
    <w:rsid w:val="00CF47FA"/>
    <w:rsid w:val="00D27BBF"/>
    <w:rsid w:val="00D30C9D"/>
    <w:rsid w:val="00D34FCB"/>
    <w:rsid w:val="00D36877"/>
    <w:rsid w:val="00D46D8F"/>
    <w:rsid w:val="00D562E1"/>
    <w:rsid w:val="00D90FE4"/>
    <w:rsid w:val="00DA72BA"/>
    <w:rsid w:val="00DC23AC"/>
    <w:rsid w:val="00DD3204"/>
    <w:rsid w:val="00DD5A31"/>
    <w:rsid w:val="00E53733"/>
    <w:rsid w:val="00E64427"/>
    <w:rsid w:val="00E648D4"/>
    <w:rsid w:val="00E74B58"/>
    <w:rsid w:val="00E8585E"/>
    <w:rsid w:val="00EC4DB3"/>
    <w:rsid w:val="00F0211A"/>
    <w:rsid w:val="00F20224"/>
    <w:rsid w:val="00F4409F"/>
    <w:rsid w:val="00F80C9C"/>
    <w:rsid w:val="00FB4E17"/>
    <w:rsid w:val="00FE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0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34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819"/>
    <w:pPr>
      <w:ind w:left="720"/>
      <w:contextualSpacing/>
    </w:pPr>
  </w:style>
  <w:style w:type="paragraph" w:styleId="Title">
    <w:name w:val="Title"/>
    <w:basedOn w:val="Normal"/>
    <w:next w:val="Normal"/>
    <w:link w:val="TitleChar"/>
    <w:uiPriority w:val="10"/>
    <w:qFormat/>
    <w:rsid w:val="00D30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0C9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30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C9D"/>
  </w:style>
  <w:style w:type="paragraph" w:styleId="Footer">
    <w:name w:val="footer"/>
    <w:basedOn w:val="Normal"/>
    <w:link w:val="FooterChar"/>
    <w:uiPriority w:val="99"/>
    <w:unhideWhenUsed/>
    <w:rsid w:val="00D30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C9D"/>
  </w:style>
  <w:style w:type="paragraph" w:styleId="BalloonText">
    <w:name w:val="Balloon Text"/>
    <w:basedOn w:val="Normal"/>
    <w:link w:val="BalloonTextChar"/>
    <w:uiPriority w:val="99"/>
    <w:semiHidden/>
    <w:unhideWhenUsed/>
    <w:rsid w:val="00D3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C9D"/>
    <w:rPr>
      <w:rFonts w:ascii="Tahoma" w:hAnsi="Tahoma" w:cs="Tahoma"/>
      <w:sz w:val="16"/>
      <w:szCs w:val="16"/>
    </w:rPr>
  </w:style>
  <w:style w:type="character" w:customStyle="1" w:styleId="Heading1Char">
    <w:name w:val="Heading 1 Char"/>
    <w:basedOn w:val="DefaultParagraphFont"/>
    <w:link w:val="Heading1"/>
    <w:uiPriority w:val="9"/>
    <w:rsid w:val="00D30C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340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F167A"/>
    <w:pPr>
      <w:spacing w:after="0" w:line="240" w:lineRule="auto"/>
    </w:pPr>
  </w:style>
  <w:style w:type="table" w:styleId="TableGrid">
    <w:name w:val="Table Grid"/>
    <w:basedOn w:val="TableNormal"/>
    <w:uiPriority w:val="59"/>
    <w:rsid w:val="00DA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34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819"/>
    <w:pPr>
      <w:ind w:left="720"/>
      <w:contextualSpacing/>
    </w:pPr>
  </w:style>
  <w:style w:type="paragraph" w:styleId="Title">
    <w:name w:val="Title"/>
    <w:basedOn w:val="Normal"/>
    <w:next w:val="Normal"/>
    <w:link w:val="TitleChar"/>
    <w:uiPriority w:val="10"/>
    <w:qFormat/>
    <w:rsid w:val="00D30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0C9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30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C9D"/>
  </w:style>
  <w:style w:type="paragraph" w:styleId="Footer">
    <w:name w:val="footer"/>
    <w:basedOn w:val="Normal"/>
    <w:link w:val="FooterChar"/>
    <w:uiPriority w:val="99"/>
    <w:unhideWhenUsed/>
    <w:rsid w:val="00D30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C9D"/>
  </w:style>
  <w:style w:type="paragraph" w:styleId="BalloonText">
    <w:name w:val="Balloon Text"/>
    <w:basedOn w:val="Normal"/>
    <w:link w:val="BalloonTextChar"/>
    <w:uiPriority w:val="99"/>
    <w:semiHidden/>
    <w:unhideWhenUsed/>
    <w:rsid w:val="00D3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C9D"/>
    <w:rPr>
      <w:rFonts w:ascii="Tahoma" w:hAnsi="Tahoma" w:cs="Tahoma"/>
      <w:sz w:val="16"/>
      <w:szCs w:val="16"/>
    </w:rPr>
  </w:style>
  <w:style w:type="character" w:customStyle="1" w:styleId="Heading1Char">
    <w:name w:val="Heading 1 Char"/>
    <w:basedOn w:val="DefaultParagraphFont"/>
    <w:link w:val="Heading1"/>
    <w:uiPriority w:val="9"/>
    <w:rsid w:val="00D30C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340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F167A"/>
    <w:pPr>
      <w:spacing w:after="0" w:line="240" w:lineRule="auto"/>
    </w:pPr>
  </w:style>
  <w:style w:type="table" w:styleId="TableGrid">
    <w:name w:val="Table Grid"/>
    <w:basedOn w:val="TableNormal"/>
    <w:uiPriority w:val="59"/>
    <w:rsid w:val="00DA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9625">
      <w:bodyDiv w:val="1"/>
      <w:marLeft w:val="0"/>
      <w:marRight w:val="0"/>
      <w:marTop w:val="0"/>
      <w:marBottom w:val="0"/>
      <w:divBdr>
        <w:top w:val="none" w:sz="0" w:space="0" w:color="auto"/>
        <w:left w:val="none" w:sz="0" w:space="0" w:color="auto"/>
        <w:bottom w:val="none" w:sz="0" w:space="0" w:color="auto"/>
        <w:right w:val="none" w:sz="0" w:space="0" w:color="auto"/>
      </w:divBdr>
      <w:divsChild>
        <w:div w:id="1055349499">
          <w:marLeft w:val="0"/>
          <w:marRight w:val="0"/>
          <w:marTop w:val="0"/>
          <w:marBottom w:val="0"/>
          <w:divBdr>
            <w:top w:val="none" w:sz="0" w:space="0" w:color="auto"/>
            <w:left w:val="none" w:sz="0" w:space="0" w:color="auto"/>
            <w:bottom w:val="none" w:sz="0" w:space="0" w:color="auto"/>
            <w:right w:val="none" w:sz="0" w:space="0" w:color="auto"/>
          </w:divBdr>
          <w:divsChild>
            <w:div w:id="609582294">
              <w:marLeft w:val="0"/>
              <w:marRight w:val="0"/>
              <w:marTop w:val="0"/>
              <w:marBottom w:val="0"/>
              <w:divBdr>
                <w:top w:val="none" w:sz="0" w:space="0" w:color="auto"/>
                <w:left w:val="none" w:sz="0" w:space="0" w:color="auto"/>
                <w:bottom w:val="none" w:sz="0" w:space="0" w:color="auto"/>
                <w:right w:val="none" w:sz="0" w:space="0" w:color="auto"/>
              </w:divBdr>
              <w:divsChild>
                <w:div w:id="512915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9734940">
          <w:marLeft w:val="0"/>
          <w:marRight w:val="0"/>
          <w:marTop w:val="0"/>
          <w:marBottom w:val="0"/>
          <w:divBdr>
            <w:top w:val="none" w:sz="0" w:space="0" w:color="auto"/>
            <w:left w:val="none" w:sz="0" w:space="0" w:color="auto"/>
            <w:bottom w:val="none" w:sz="0" w:space="0" w:color="auto"/>
            <w:right w:val="none" w:sz="0" w:space="0" w:color="auto"/>
          </w:divBdr>
          <w:divsChild>
            <w:div w:id="1630554289">
              <w:marLeft w:val="0"/>
              <w:marRight w:val="0"/>
              <w:marTop w:val="0"/>
              <w:marBottom w:val="0"/>
              <w:divBdr>
                <w:top w:val="none" w:sz="0" w:space="0" w:color="auto"/>
                <w:left w:val="none" w:sz="0" w:space="0" w:color="auto"/>
                <w:bottom w:val="none" w:sz="0" w:space="0" w:color="auto"/>
                <w:right w:val="none" w:sz="0" w:space="0" w:color="auto"/>
              </w:divBdr>
              <w:divsChild>
                <w:div w:id="17960988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7094348">
          <w:marLeft w:val="0"/>
          <w:marRight w:val="0"/>
          <w:marTop w:val="0"/>
          <w:marBottom w:val="0"/>
          <w:divBdr>
            <w:top w:val="none" w:sz="0" w:space="0" w:color="auto"/>
            <w:left w:val="none" w:sz="0" w:space="0" w:color="auto"/>
            <w:bottom w:val="none" w:sz="0" w:space="0" w:color="auto"/>
            <w:right w:val="none" w:sz="0" w:space="0" w:color="auto"/>
          </w:divBdr>
          <w:divsChild>
            <w:div w:id="1239944264">
              <w:marLeft w:val="0"/>
              <w:marRight w:val="0"/>
              <w:marTop w:val="0"/>
              <w:marBottom w:val="0"/>
              <w:divBdr>
                <w:top w:val="none" w:sz="0" w:space="0" w:color="auto"/>
                <w:left w:val="none" w:sz="0" w:space="0" w:color="auto"/>
                <w:bottom w:val="none" w:sz="0" w:space="0" w:color="auto"/>
                <w:right w:val="none" w:sz="0" w:space="0" w:color="auto"/>
              </w:divBdr>
              <w:divsChild>
                <w:div w:id="1057051173">
                  <w:marLeft w:val="-420"/>
                  <w:marRight w:val="0"/>
                  <w:marTop w:val="0"/>
                  <w:marBottom w:val="0"/>
                  <w:divBdr>
                    <w:top w:val="none" w:sz="0" w:space="0" w:color="auto"/>
                    <w:left w:val="none" w:sz="0" w:space="0" w:color="auto"/>
                    <w:bottom w:val="none" w:sz="0" w:space="0" w:color="auto"/>
                    <w:right w:val="none" w:sz="0" w:space="0" w:color="auto"/>
                  </w:divBdr>
                  <w:divsChild>
                    <w:div w:id="1087532048">
                      <w:marLeft w:val="0"/>
                      <w:marRight w:val="0"/>
                      <w:marTop w:val="0"/>
                      <w:marBottom w:val="0"/>
                      <w:divBdr>
                        <w:top w:val="none" w:sz="0" w:space="0" w:color="auto"/>
                        <w:left w:val="none" w:sz="0" w:space="0" w:color="auto"/>
                        <w:bottom w:val="none" w:sz="0" w:space="0" w:color="auto"/>
                        <w:right w:val="none" w:sz="0" w:space="0" w:color="auto"/>
                      </w:divBdr>
                      <w:divsChild>
                        <w:div w:id="487554612">
                          <w:marLeft w:val="0"/>
                          <w:marRight w:val="0"/>
                          <w:marTop w:val="0"/>
                          <w:marBottom w:val="0"/>
                          <w:divBdr>
                            <w:top w:val="none" w:sz="0" w:space="0" w:color="auto"/>
                            <w:left w:val="none" w:sz="0" w:space="0" w:color="auto"/>
                            <w:bottom w:val="none" w:sz="0" w:space="0" w:color="auto"/>
                            <w:right w:val="none" w:sz="0" w:space="0" w:color="auto"/>
                          </w:divBdr>
                          <w:divsChild>
                            <w:div w:id="550767527">
                              <w:marLeft w:val="0"/>
                              <w:marRight w:val="0"/>
                              <w:marTop w:val="0"/>
                              <w:marBottom w:val="0"/>
                              <w:divBdr>
                                <w:top w:val="none" w:sz="0" w:space="0" w:color="auto"/>
                                <w:left w:val="none" w:sz="0" w:space="0" w:color="auto"/>
                                <w:bottom w:val="none" w:sz="0" w:space="0" w:color="auto"/>
                                <w:right w:val="none" w:sz="0" w:space="0" w:color="auto"/>
                              </w:divBdr>
                            </w:div>
                            <w:div w:id="5163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2599">
                  <w:marLeft w:val="-420"/>
                  <w:marRight w:val="0"/>
                  <w:marTop w:val="0"/>
                  <w:marBottom w:val="0"/>
                  <w:divBdr>
                    <w:top w:val="none" w:sz="0" w:space="0" w:color="auto"/>
                    <w:left w:val="none" w:sz="0" w:space="0" w:color="auto"/>
                    <w:bottom w:val="none" w:sz="0" w:space="0" w:color="auto"/>
                    <w:right w:val="none" w:sz="0" w:space="0" w:color="auto"/>
                  </w:divBdr>
                  <w:divsChild>
                    <w:div w:id="1277954393">
                      <w:marLeft w:val="0"/>
                      <w:marRight w:val="0"/>
                      <w:marTop w:val="0"/>
                      <w:marBottom w:val="0"/>
                      <w:divBdr>
                        <w:top w:val="none" w:sz="0" w:space="0" w:color="auto"/>
                        <w:left w:val="none" w:sz="0" w:space="0" w:color="auto"/>
                        <w:bottom w:val="none" w:sz="0" w:space="0" w:color="auto"/>
                        <w:right w:val="none" w:sz="0" w:space="0" w:color="auto"/>
                      </w:divBdr>
                      <w:divsChild>
                        <w:div w:id="455418534">
                          <w:marLeft w:val="0"/>
                          <w:marRight w:val="0"/>
                          <w:marTop w:val="0"/>
                          <w:marBottom w:val="0"/>
                          <w:divBdr>
                            <w:top w:val="none" w:sz="0" w:space="0" w:color="auto"/>
                            <w:left w:val="none" w:sz="0" w:space="0" w:color="auto"/>
                            <w:bottom w:val="none" w:sz="0" w:space="0" w:color="auto"/>
                            <w:right w:val="none" w:sz="0" w:space="0" w:color="auto"/>
                          </w:divBdr>
                          <w:divsChild>
                            <w:div w:id="1781416399">
                              <w:marLeft w:val="0"/>
                              <w:marRight w:val="0"/>
                              <w:marTop w:val="0"/>
                              <w:marBottom w:val="0"/>
                              <w:divBdr>
                                <w:top w:val="none" w:sz="0" w:space="0" w:color="auto"/>
                                <w:left w:val="none" w:sz="0" w:space="0" w:color="auto"/>
                                <w:bottom w:val="none" w:sz="0" w:space="0" w:color="auto"/>
                                <w:right w:val="none" w:sz="0" w:space="0" w:color="auto"/>
                              </w:divBdr>
                            </w:div>
                            <w:div w:id="7475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08294">
                  <w:marLeft w:val="-420"/>
                  <w:marRight w:val="0"/>
                  <w:marTop w:val="0"/>
                  <w:marBottom w:val="0"/>
                  <w:divBdr>
                    <w:top w:val="none" w:sz="0" w:space="0" w:color="auto"/>
                    <w:left w:val="none" w:sz="0" w:space="0" w:color="auto"/>
                    <w:bottom w:val="none" w:sz="0" w:space="0" w:color="auto"/>
                    <w:right w:val="none" w:sz="0" w:space="0" w:color="auto"/>
                  </w:divBdr>
                  <w:divsChild>
                    <w:div w:id="1304969191">
                      <w:marLeft w:val="0"/>
                      <w:marRight w:val="0"/>
                      <w:marTop w:val="0"/>
                      <w:marBottom w:val="0"/>
                      <w:divBdr>
                        <w:top w:val="none" w:sz="0" w:space="0" w:color="auto"/>
                        <w:left w:val="none" w:sz="0" w:space="0" w:color="auto"/>
                        <w:bottom w:val="none" w:sz="0" w:space="0" w:color="auto"/>
                        <w:right w:val="none" w:sz="0" w:space="0" w:color="auto"/>
                      </w:divBdr>
                      <w:divsChild>
                        <w:div w:id="114767123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David Smale</cp:lastModifiedBy>
  <cp:revision>2</cp:revision>
  <dcterms:created xsi:type="dcterms:W3CDTF">2025-02-19T13:24:00Z</dcterms:created>
  <dcterms:modified xsi:type="dcterms:W3CDTF">2025-02-19T13:24:00Z</dcterms:modified>
</cp:coreProperties>
</file>